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631F2">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3D212E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eastAsia="宋体" w:cs="宋体"/>
          <w:b/>
          <w:bCs/>
          <w:color w:val="000000"/>
          <w:sz w:val="24"/>
          <w:szCs w:val="24"/>
        </w:rPr>
        <w:t>受</w:t>
      </w:r>
      <w:r>
        <w:rPr>
          <w:rFonts w:hint="eastAsia" w:ascii="宋体" w:hAnsi="宋体" w:cs="宋体"/>
          <w:b/>
          <w:bCs/>
          <w:sz w:val="24"/>
          <w:lang w:eastAsia="zh-CN"/>
        </w:rPr>
        <w:t>宁波市镇海文旅集团有限公司</w:t>
      </w:r>
      <w:r>
        <w:rPr>
          <w:rFonts w:hint="eastAsia" w:ascii="宋体" w:hAnsi="宋体" w:eastAsia="宋体" w:cs="宋体"/>
          <w:b/>
          <w:bCs/>
          <w:color w:val="000000"/>
          <w:sz w:val="24"/>
          <w:szCs w:val="24"/>
        </w:rPr>
        <w:t>委托</w:t>
      </w:r>
      <w:r>
        <w:rPr>
          <w:rFonts w:hint="eastAsia" w:ascii="宋体" w:hAnsi="宋体" w:cs="宋体"/>
          <w:b/>
          <w:bCs/>
          <w:color w:val="000000"/>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58D20551">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6D7F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1444E1A">
      <w:pPr>
        <w:spacing w:line="420" w:lineRule="exact"/>
        <w:ind w:firstLine="482" w:firstLineChars="200"/>
        <w:rPr>
          <w:rFonts w:hint="default" w:ascii="宋体" w:hAnsi="宋体" w:eastAsia="宋体"/>
          <w:b/>
          <w:color w:val="auto"/>
          <w:sz w:val="24"/>
          <w:szCs w:val="24"/>
          <w:lang w:val="en-US" w:eastAsia="zh-CN"/>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r>
        <w:rPr>
          <w:rFonts w:hint="eastAsia" w:ascii="宋体" w:hAnsi="宋体"/>
          <w:b/>
          <w:color w:val="auto"/>
          <w:sz w:val="24"/>
          <w:szCs w:val="24"/>
          <w:lang w:val="en-US" w:eastAsia="zh-CN"/>
        </w:rPr>
        <w:t xml:space="preserve">   </w:t>
      </w:r>
    </w:p>
    <w:tbl>
      <w:tblPr>
        <w:tblStyle w:val="8"/>
        <w:tblpPr w:leftFromText="180" w:rightFromText="180" w:vertAnchor="text" w:horzAnchor="page" w:tblpX="1140" w:tblpY="289"/>
        <w:tblOverlap w:val="never"/>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391"/>
        <w:gridCol w:w="2044"/>
        <w:gridCol w:w="2150"/>
        <w:gridCol w:w="1161"/>
        <w:gridCol w:w="992"/>
        <w:gridCol w:w="1077"/>
      </w:tblGrid>
      <w:tr w14:paraId="14BF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61" w:type="dxa"/>
            <w:noWrap w:val="0"/>
            <w:vAlign w:val="center"/>
          </w:tcPr>
          <w:p w14:paraId="0984B47F">
            <w:pPr>
              <w:spacing w:line="260" w:lineRule="exact"/>
              <w:ind w:right="200"/>
              <w:jc w:val="center"/>
              <w:rPr>
                <w:rFonts w:ascii="宋体" w:hAnsi="宋体" w:cs="宋体"/>
                <w:szCs w:val="21"/>
              </w:rPr>
            </w:pPr>
            <w:r>
              <w:rPr>
                <w:rFonts w:hint="eastAsia" w:ascii="宋体" w:hAnsi="宋体" w:cs="宋体"/>
                <w:szCs w:val="21"/>
              </w:rPr>
              <w:t>序号</w:t>
            </w:r>
          </w:p>
        </w:tc>
        <w:tc>
          <w:tcPr>
            <w:tcW w:w="1391" w:type="dxa"/>
            <w:noWrap w:val="0"/>
            <w:vAlign w:val="center"/>
          </w:tcPr>
          <w:p w14:paraId="098E6958">
            <w:pPr>
              <w:spacing w:line="260" w:lineRule="exact"/>
              <w:ind w:right="200"/>
              <w:jc w:val="center"/>
              <w:rPr>
                <w:rFonts w:ascii="宋体" w:hAnsi="宋体" w:cs="宋体"/>
                <w:szCs w:val="21"/>
              </w:rPr>
            </w:pPr>
            <w:r>
              <w:rPr>
                <w:rFonts w:hint="eastAsia" w:ascii="宋体" w:hAnsi="宋体" w:cs="宋体"/>
                <w:szCs w:val="21"/>
              </w:rPr>
              <w:t>标的</w:t>
            </w:r>
          </w:p>
          <w:p w14:paraId="46307780">
            <w:pPr>
              <w:spacing w:line="260" w:lineRule="exact"/>
              <w:ind w:right="200"/>
              <w:jc w:val="center"/>
              <w:rPr>
                <w:rFonts w:ascii="宋体" w:hAnsi="宋体" w:cs="宋体"/>
                <w:szCs w:val="21"/>
              </w:rPr>
            </w:pPr>
            <w:r>
              <w:rPr>
                <w:rFonts w:hint="eastAsia" w:ascii="宋体" w:hAnsi="宋体" w:cs="宋体"/>
                <w:szCs w:val="21"/>
              </w:rPr>
              <w:t>名称</w:t>
            </w:r>
          </w:p>
        </w:tc>
        <w:tc>
          <w:tcPr>
            <w:tcW w:w="2044" w:type="dxa"/>
            <w:noWrap w:val="0"/>
            <w:vAlign w:val="center"/>
          </w:tcPr>
          <w:p w14:paraId="686E0B7A">
            <w:pPr>
              <w:spacing w:line="260" w:lineRule="exact"/>
              <w:ind w:right="200"/>
              <w:jc w:val="center"/>
              <w:rPr>
                <w:rFonts w:ascii="宋体" w:hAnsi="宋体" w:cs="宋体"/>
                <w:szCs w:val="21"/>
              </w:rPr>
            </w:pPr>
            <w:r>
              <w:rPr>
                <w:rFonts w:hint="eastAsia" w:ascii="宋体" w:hAnsi="宋体" w:cs="宋体"/>
                <w:szCs w:val="21"/>
              </w:rPr>
              <w:t>规划用途</w:t>
            </w:r>
          </w:p>
        </w:tc>
        <w:tc>
          <w:tcPr>
            <w:tcW w:w="2150" w:type="dxa"/>
            <w:noWrap w:val="0"/>
            <w:vAlign w:val="center"/>
          </w:tcPr>
          <w:p w14:paraId="7BF66520">
            <w:pPr>
              <w:spacing w:line="260" w:lineRule="exact"/>
              <w:ind w:right="200"/>
              <w:jc w:val="center"/>
              <w:rPr>
                <w:rFonts w:ascii="宋体" w:hAnsi="宋体" w:cs="宋体"/>
                <w:szCs w:val="21"/>
              </w:rPr>
            </w:pPr>
            <w:r>
              <w:rPr>
                <w:rFonts w:hint="eastAsia" w:ascii="宋体" w:hAnsi="宋体" w:cs="宋体"/>
                <w:szCs w:val="21"/>
              </w:rPr>
              <w:t>出租建筑面积（平方米）</w:t>
            </w:r>
          </w:p>
        </w:tc>
        <w:tc>
          <w:tcPr>
            <w:tcW w:w="1161" w:type="dxa"/>
            <w:noWrap w:val="0"/>
            <w:vAlign w:val="center"/>
          </w:tcPr>
          <w:p w14:paraId="1930D544">
            <w:pPr>
              <w:jc w:val="center"/>
              <w:rPr>
                <w:rFonts w:ascii="宋体" w:hAnsi="宋体" w:cs="宋体"/>
                <w:szCs w:val="21"/>
                <w:lang w:bidi="zh-CN"/>
              </w:rPr>
            </w:pPr>
            <w:r>
              <w:rPr>
                <w:rFonts w:hint="eastAsia" w:ascii="宋体" w:hAnsi="宋体" w:cs="宋体"/>
                <w:szCs w:val="21"/>
                <w:lang w:val="en-US" w:bidi="zh-CN"/>
              </w:rPr>
              <w:t>首年租金起始</w:t>
            </w:r>
            <w:r>
              <w:rPr>
                <w:rFonts w:hint="eastAsia" w:ascii="宋体" w:hAnsi="宋体" w:cs="宋体"/>
                <w:szCs w:val="21"/>
                <w:lang w:val="zh-CN" w:bidi="zh-CN"/>
              </w:rPr>
              <w:t>价（元）</w:t>
            </w:r>
            <w:r>
              <w:rPr>
                <w:rFonts w:hint="eastAsia" w:ascii="宋体" w:hAnsi="宋体" w:cs="宋体"/>
                <w:szCs w:val="21"/>
                <w:lang w:bidi="zh-CN"/>
              </w:rPr>
              <w:t>/年</w:t>
            </w:r>
          </w:p>
        </w:tc>
        <w:tc>
          <w:tcPr>
            <w:tcW w:w="992" w:type="dxa"/>
            <w:noWrap w:val="0"/>
            <w:vAlign w:val="center"/>
          </w:tcPr>
          <w:p w14:paraId="6D09718E">
            <w:pPr>
              <w:jc w:val="center"/>
              <w:rPr>
                <w:rFonts w:hint="default" w:ascii="宋体" w:hAnsi="宋体" w:cs="宋体"/>
                <w:szCs w:val="21"/>
                <w:lang w:val="en-US" w:bidi="zh-CN"/>
              </w:rPr>
            </w:pPr>
            <w:r>
              <w:rPr>
                <w:rFonts w:hint="eastAsia" w:ascii="宋体" w:hAnsi="宋体" w:cs="宋体"/>
                <w:szCs w:val="21"/>
                <w:lang w:val="en-US" w:bidi="zh-CN"/>
              </w:rPr>
              <w:t>保证金（元）</w:t>
            </w:r>
          </w:p>
        </w:tc>
        <w:tc>
          <w:tcPr>
            <w:tcW w:w="1077" w:type="dxa"/>
            <w:noWrap w:val="0"/>
            <w:vAlign w:val="center"/>
          </w:tcPr>
          <w:p w14:paraId="062F82EB">
            <w:pPr>
              <w:spacing w:line="260" w:lineRule="exact"/>
              <w:ind w:right="200"/>
              <w:jc w:val="center"/>
              <w:rPr>
                <w:rFonts w:hint="eastAsia" w:ascii="宋体" w:hAnsi="宋体" w:eastAsia="宋体" w:cs="宋体"/>
                <w:szCs w:val="21"/>
                <w:lang w:eastAsia="zh-CN"/>
              </w:rPr>
            </w:pPr>
            <w:r>
              <w:rPr>
                <w:rFonts w:hint="eastAsia" w:ascii="宋体" w:hAnsi="宋体" w:cs="宋体"/>
                <w:szCs w:val="21"/>
              </w:rPr>
              <w:t>租赁期限</w:t>
            </w:r>
          </w:p>
        </w:tc>
      </w:tr>
      <w:tr w14:paraId="4860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761" w:type="dxa"/>
            <w:vMerge w:val="restart"/>
            <w:noWrap w:val="0"/>
            <w:vAlign w:val="center"/>
          </w:tcPr>
          <w:p w14:paraId="4A41CE8B">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391" w:type="dxa"/>
            <w:noWrap w:val="0"/>
            <w:vAlign w:val="center"/>
          </w:tcPr>
          <w:p w14:paraId="22E0B651">
            <w:pPr>
              <w:spacing w:line="260" w:lineRule="exact"/>
              <w:ind w:right="200"/>
              <w:jc w:val="center"/>
              <w:rPr>
                <w:rFonts w:hint="default" w:eastAsia="宋体"/>
                <w:lang w:val="en-US" w:eastAsia="zh-CN"/>
              </w:rPr>
            </w:pPr>
            <w:r>
              <w:rPr>
                <w:rFonts w:hint="eastAsia"/>
                <w:lang w:val="en-US" w:eastAsia="zh-CN"/>
              </w:rPr>
              <w:t>篮球场</w:t>
            </w:r>
          </w:p>
        </w:tc>
        <w:tc>
          <w:tcPr>
            <w:tcW w:w="2044" w:type="dxa"/>
            <w:vMerge w:val="restart"/>
            <w:noWrap w:val="0"/>
            <w:vAlign w:val="center"/>
          </w:tcPr>
          <w:p w14:paraId="2D7BBA5C">
            <w:pPr>
              <w:spacing w:line="260" w:lineRule="exact"/>
              <w:ind w:right="200"/>
              <w:jc w:val="center"/>
              <w:rPr>
                <w:rFonts w:hint="default" w:eastAsia="宋体"/>
                <w:lang w:val="en-US" w:eastAsia="zh-CN"/>
              </w:rPr>
            </w:pPr>
            <w:r>
              <w:rPr>
                <w:rFonts w:hint="eastAsia"/>
                <w:lang w:val="en-US" w:eastAsia="zh-CN"/>
              </w:rPr>
              <w:t>体育场地</w:t>
            </w:r>
          </w:p>
        </w:tc>
        <w:tc>
          <w:tcPr>
            <w:tcW w:w="2150" w:type="dxa"/>
            <w:noWrap w:val="0"/>
            <w:vAlign w:val="center"/>
          </w:tcPr>
          <w:p w14:paraId="15678908">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1216</w:t>
            </w:r>
          </w:p>
        </w:tc>
        <w:tc>
          <w:tcPr>
            <w:tcW w:w="1161" w:type="dxa"/>
            <w:vMerge w:val="restart"/>
            <w:noWrap w:val="0"/>
            <w:vAlign w:val="center"/>
          </w:tcPr>
          <w:p w14:paraId="2A30FAC4">
            <w:pPr>
              <w:jc w:val="center"/>
              <w:rPr>
                <w:rFonts w:hint="default" w:ascii="宋体" w:hAnsi="宋体" w:eastAsia="宋体" w:cs="宋体"/>
                <w:lang w:val="en-US" w:eastAsia="zh-CN"/>
              </w:rPr>
            </w:pPr>
            <w:r>
              <w:rPr>
                <w:rFonts w:hint="eastAsia" w:ascii="宋体" w:hAnsi="宋体" w:cs="宋体"/>
                <w:lang w:val="en-US" w:eastAsia="zh-CN"/>
              </w:rPr>
              <w:t>109000</w:t>
            </w:r>
          </w:p>
        </w:tc>
        <w:tc>
          <w:tcPr>
            <w:tcW w:w="992" w:type="dxa"/>
            <w:vMerge w:val="restart"/>
            <w:noWrap w:val="0"/>
            <w:vAlign w:val="center"/>
          </w:tcPr>
          <w:p w14:paraId="3C3B89F2">
            <w:pPr>
              <w:jc w:val="center"/>
              <w:rPr>
                <w:rFonts w:hint="default" w:ascii="宋体" w:hAnsi="宋体" w:cs="宋体"/>
                <w:lang w:val="en-US" w:eastAsia="zh-CN"/>
              </w:rPr>
            </w:pPr>
            <w:r>
              <w:rPr>
                <w:rFonts w:hint="eastAsia" w:ascii="宋体" w:hAnsi="宋体" w:cs="宋体"/>
                <w:lang w:val="en-US" w:eastAsia="zh-CN"/>
              </w:rPr>
              <w:t>10000</w:t>
            </w:r>
          </w:p>
        </w:tc>
        <w:tc>
          <w:tcPr>
            <w:tcW w:w="1077" w:type="dxa"/>
            <w:vMerge w:val="restart"/>
            <w:noWrap w:val="0"/>
            <w:vAlign w:val="center"/>
          </w:tcPr>
          <w:p w14:paraId="50144E26">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5年</w:t>
            </w:r>
          </w:p>
        </w:tc>
      </w:tr>
      <w:tr w14:paraId="177B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761" w:type="dxa"/>
            <w:vMerge w:val="continue"/>
            <w:noWrap w:val="0"/>
            <w:vAlign w:val="center"/>
          </w:tcPr>
          <w:p w14:paraId="324720E5">
            <w:pPr>
              <w:spacing w:line="260" w:lineRule="exact"/>
              <w:ind w:right="200"/>
              <w:jc w:val="center"/>
              <w:rPr>
                <w:rFonts w:hint="default" w:ascii="宋体" w:hAnsi="宋体" w:cs="宋体"/>
                <w:szCs w:val="21"/>
                <w:lang w:val="en-US" w:eastAsia="zh-CN"/>
              </w:rPr>
            </w:pPr>
          </w:p>
        </w:tc>
        <w:tc>
          <w:tcPr>
            <w:tcW w:w="1391" w:type="dxa"/>
            <w:noWrap w:val="0"/>
            <w:vAlign w:val="center"/>
          </w:tcPr>
          <w:p w14:paraId="4BC0FBBF">
            <w:pPr>
              <w:spacing w:line="260" w:lineRule="exact"/>
              <w:ind w:right="200"/>
              <w:jc w:val="center"/>
              <w:rPr>
                <w:rFonts w:hint="default" w:eastAsia="宋体"/>
                <w:lang w:val="en-US" w:eastAsia="zh-CN"/>
              </w:rPr>
            </w:pPr>
            <w:r>
              <w:rPr>
                <w:rFonts w:hint="eastAsia"/>
                <w:lang w:val="en-US" w:eastAsia="zh-CN"/>
              </w:rPr>
              <w:t>半场篮球场</w:t>
            </w:r>
          </w:p>
        </w:tc>
        <w:tc>
          <w:tcPr>
            <w:tcW w:w="2044" w:type="dxa"/>
            <w:vMerge w:val="continue"/>
            <w:noWrap w:val="0"/>
            <w:vAlign w:val="center"/>
          </w:tcPr>
          <w:p w14:paraId="109BFB2F">
            <w:pPr>
              <w:spacing w:line="260" w:lineRule="exact"/>
              <w:ind w:right="200"/>
              <w:jc w:val="center"/>
              <w:rPr>
                <w:rFonts w:hint="eastAsia" w:eastAsia="宋体"/>
                <w:lang w:val="en-US" w:eastAsia="zh-CN"/>
              </w:rPr>
            </w:pPr>
          </w:p>
        </w:tc>
        <w:tc>
          <w:tcPr>
            <w:tcW w:w="2150" w:type="dxa"/>
            <w:noWrap w:val="0"/>
            <w:vAlign w:val="center"/>
          </w:tcPr>
          <w:p w14:paraId="67B23DF3">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159</w:t>
            </w:r>
          </w:p>
        </w:tc>
        <w:tc>
          <w:tcPr>
            <w:tcW w:w="1161" w:type="dxa"/>
            <w:vMerge w:val="continue"/>
            <w:noWrap w:val="0"/>
            <w:vAlign w:val="center"/>
          </w:tcPr>
          <w:p w14:paraId="0C9090CA">
            <w:pPr>
              <w:jc w:val="center"/>
              <w:rPr>
                <w:rFonts w:hint="default" w:ascii="宋体" w:hAnsi="宋体" w:eastAsia="宋体" w:cs="宋体"/>
                <w:lang w:val="en-US" w:eastAsia="zh-CN"/>
              </w:rPr>
            </w:pPr>
          </w:p>
        </w:tc>
        <w:tc>
          <w:tcPr>
            <w:tcW w:w="992" w:type="dxa"/>
            <w:vMerge w:val="continue"/>
            <w:noWrap w:val="0"/>
            <w:vAlign w:val="center"/>
          </w:tcPr>
          <w:p w14:paraId="04667ABA">
            <w:pPr>
              <w:jc w:val="center"/>
              <w:rPr>
                <w:rFonts w:hint="default" w:ascii="宋体" w:hAnsi="宋体" w:eastAsia="宋体" w:cs="宋体"/>
                <w:lang w:val="en-US" w:eastAsia="zh-CN"/>
              </w:rPr>
            </w:pPr>
          </w:p>
        </w:tc>
        <w:tc>
          <w:tcPr>
            <w:tcW w:w="1077" w:type="dxa"/>
            <w:vMerge w:val="continue"/>
            <w:noWrap w:val="0"/>
            <w:vAlign w:val="center"/>
          </w:tcPr>
          <w:p w14:paraId="099D7B58">
            <w:pPr>
              <w:widowControl/>
              <w:jc w:val="center"/>
              <w:textAlignment w:val="center"/>
              <w:rPr>
                <w:rFonts w:hint="default" w:ascii="宋体" w:hAnsi="宋体" w:cs="宋体"/>
                <w:kern w:val="0"/>
                <w:szCs w:val="21"/>
                <w:lang w:val="en-US" w:eastAsia="zh-CN" w:bidi="ar"/>
              </w:rPr>
            </w:pPr>
          </w:p>
        </w:tc>
      </w:tr>
      <w:tr w14:paraId="27FA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761" w:type="dxa"/>
            <w:vMerge w:val="continue"/>
            <w:noWrap w:val="0"/>
            <w:vAlign w:val="center"/>
          </w:tcPr>
          <w:p w14:paraId="1E33C0C0">
            <w:pPr>
              <w:spacing w:line="260" w:lineRule="exact"/>
              <w:ind w:right="200"/>
              <w:jc w:val="center"/>
              <w:rPr>
                <w:rFonts w:hint="default" w:ascii="宋体" w:hAnsi="宋体" w:cs="宋体"/>
                <w:szCs w:val="21"/>
                <w:lang w:val="en-US" w:eastAsia="zh-CN"/>
              </w:rPr>
            </w:pPr>
          </w:p>
        </w:tc>
        <w:tc>
          <w:tcPr>
            <w:tcW w:w="1391" w:type="dxa"/>
            <w:noWrap w:val="0"/>
            <w:vAlign w:val="center"/>
          </w:tcPr>
          <w:p w14:paraId="3A0D36FF">
            <w:pPr>
              <w:spacing w:line="260" w:lineRule="exact"/>
              <w:ind w:right="200"/>
              <w:jc w:val="center"/>
              <w:rPr>
                <w:rFonts w:hint="default"/>
                <w:lang w:val="en-US"/>
              </w:rPr>
            </w:pPr>
            <w:r>
              <w:rPr>
                <w:rFonts w:hint="eastAsia"/>
                <w:lang w:val="en-US" w:eastAsia="zh-CN"/>
              </w:rPr>
              <w:t>足球场</w:t>
            </w:r>
          </w:p>
        </w:tc>
        <w:tc>
          <w:tcPr>
            <w:tcW w:w="2044" w:type="dxa"/>
            <w:vMerge w:val="continue"/>
            <w:noWrap w:val="0"/>
            <w:vAlign w:val="center"/>
          </w:tcPr>
          <w:p w14:paraId="1A1ED745">
            <w:pPr>
              <w:spacing w:line="260" w:lineRule="exact"/>
              <w:ind w:right="200"/>
              <w:jc w:val="center"/>
              <w:rPr>
                <w:rFonts w:hint="eastAsia" w:eastAsia="宋体"/>
                <w:lang w:val="en-US" w:eastAsia="zh-CN"/>
              </w:rPr>
            </w:pPr>
          </w:p>
        </w:tc>
        <w:tc>
          <w:tcPr>
            <w:tcW w:w="2150" w:type="dxa"/>
            <w:noWrap w:val="0"/>
            <w:vAlign w:val="center"/>
          </w:tcPr>
          <w:p w14:paraId="03AFCE8D">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1680</w:t>
            </w:r>
          </w:p>
        </w:tc>
        <w:tc>
          <w:tcPr>
            <w:tcW w:w="1161" w:type="dxa"/>
            <w:vMerge w:val="continue"/>
            <w:noWrap w:val="0"/>
            <w:vAlign w:val="center"/>
          </w:tcPr>
          <w:p w14:paraId="0D8F9217">
            <w:pPr>
              <w:jc w:val="center"/>
              <w:rPr>
                <w:rFonts w:hint="default" w:ascii="宋体" w:hAnsi="宋体" w:eastAsia="宋体" w:cs="宋体"/>
                <w:lang w:val="en-US" w:eastAsia="zh-CN"/>
              </w:rPr>
            </w:pPr>
          </w:p>
        </w:tc>
        <w:tc>
          <w:tcPr>
            <w:tcW w:w="992" w:type="dxa"/>
            <w:vMerge w:val="continue"/>
            <w:noWrap w:val="0"/>
            <w:vAlign w:val="center"/>
          </w:tcPr>
          <w:p w14:paraId="01F55A9B">
            <w:pPr>
              <w:jc w:val="center"/>
              <w:rPr>
                <w:rFonts w:hint="default" w:ascii="宋体" w:hAnsi="宋体" w:eastAsia="宋体" w:cs="宋体"/>
                <w:lang w:val="en-US" w:eastAsia="zh-CN"/>
              </w:rPr>
            </w:pPr>
          </w:p>
        </w:tc>
        <w:tc>
          <w:tcPr>
            <w:tcW w:w="1077" w:type="dxa"/>
            <w:vMerge w:val="continue"/>
            <w:noWrap w:val="0"/>
            <w:vAlign w:val="center"/>
          </w:tcPr>
          <w:p w14:paraId="5A1C21FD">
            <w:pPr>
              <w:widowControl/>
              <w:jc w:val="center"/>
              <w:textAlignment w:val="center"/>
              <w:rPr>
                <w:rFonts w:hint="default" w:ascii="宋体" w:hAnsi="宋体" w:cs="宋体"/>
                <w:kern w:val="0"/>
                <w:szCs w:val="21"/>
                <w:lang w:val="en-US" w:eastAsia="zh-CN" w:bidi="ar"/>
              </w:rPr>
            </w:pPr>
          </w:p>
        </w:tc>
      </w:tr>
      <w:tr w14:paraId="56E7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761" w:type="dxa"/>
            <w:vMerge w:val="continue"/>
            <w:noWrap w:val="0"/>
            <w:vAlign w:val="center"/>
          </w:tcPr>
          <w:p w14:paraId="66F2B081">
            <w:pPr>
              <w:spacing w:line="260" w:lineRule="exact"/>
              <w:ind w:right="200"/>
              <w:jc w:val="center"/>
              <w:rPr>
                <w:rFonts w:hint="eastAsia" w:ascii="宋体" w:hAnsi="宋体" w:cs="宋体"/>
                <w:szCs w:val="21"/>
                <w:lang w:val="en-US" w:eastAsia="zh-CN"/>
              </w:rPr>
            </w:pPr>
          </w:p>
        </w:tc>
        <w:tc>
          <w:tcPr>
            <w:tcW w:w="1391" w:type="dxa"/>
            <w:noWrap w:val="0"/>
            <w:vAlign w:val="center"/>
          </w:tcPr>
          <w:p w14:paraId="7C37C902">
            <w:pPr>
              <w:spacing w:line="260" w:lineRule="exact"/>
              <w:ind w:right="200"/>
              <w:jc w:val="center"/>
              <w:rPr>
                <w:rFonts w:hint="default"/>
                <w:lang w:val="en-US" w:eastAsia="zh-CN"/>
              </w:rPr>
            </w:pPr>
            <w:r>
              <w:rPr>
                <w:rFonts w:hint="eastAsia"/>
                <w:lang w:val="en-US" w:eastAsia="zh-CN"/>
              </w:rPr>
              <w:t>轮滑场</w:t>
            </w:r>
          </w:p>
        </w:tc>
        <w:tc>
          <w:tcPr>
            <w:tcW w:w="2044" w:type="dxa"/>
            <w:vMerge w:val="continue"/>
            <w:noWrap w:val="0"/>
            <w:vAlign w:val="center"/>
          </w:tcPr>
          <w:p w14:paraId="7E6BFE03">
            <w:pPr>
              <w:spacing w:line="260" w:lineRule="exact"/>
              <w:ind w:right="200"/>
              <w:jc w:val="center"/>
              <w:rPr>
                <w:rFonts w:hint="eastAsia"/>
                <w:lang w:val="en-US" w:eastAsia="zh-CN"/>
              </w:rPr>
            </w:pPr>
          </w:p>
        </w:tc>
        <w:tc>
          <w:tcPr>
            <w:tcW w:w="2150" w:type="dxa"/>
            <w:noWrap w:val="0"/>
            <w:vAlign w:val="center"/>
          </w:tcPr>
          <w:p w14:paraId="79F03B21">
            <w:pPr>
              <w:spacing w:line="260" w:lineRule="exact"/>
              <w:ind w:right="200"/>
              <w:jc w:val="center"/>
              <w:rPr>
                <w:rFonts w:hint="default" w:ascii="宋体" w:hAnsi="宋体" w:cs="宋体"/>
                <w:lang w:val="en-US" w:eastAsia="zh-CN"/>
              </w:rPr>
            </w:pPr>
            <w:r>
              <w:rPr>
                <w:rFonts w:hint="eastAsia" w:ascii="宋体" w:hAnsi="宋体" w:cs="宋体"/>
                <w:lang w:val="en-US" w:eastAsia="zh-CN"/>
              </w:rPr>
              <w:t>589</w:t>
            </w:r>
          </w:p>
        </w:tc>
        <w:tc>
          <w:tcPr>
            <w:tcW w:w="1161" w:type="dxa"/>
            <w:vMerge w:val="continue"/>
            <w:noWrap w:val="0"/>
            <w:vAlign w:val="center"/>
          </w:tcPr>
          <w:p w14:paraId="701C87AB">
            <w:pPr>
              <w:jc w:val="center"/>
              <w:rPr>
                <w:rFonts w:hint="eastAsia" w:ascii="宋体" w:hAnsi="宋体" w:cs="宋体"/>
                <w:lang w:val="en-US" w:eastAsia="zh-CN"/>
              </w:rPr>
            </w:pPr>
          </w:p>
        </w:tc>
        <w:tc>
          <w:tcPr>
            <w:tcW w:w="992" w:type="dxa"/>
            <w:vMerge w:val="continue"/>
            <w:noWrap w:val="0"/>
            <w:vAlign w:val="center"/>
          </w:tcPr>
          <w:p w14:paraId="14064B2E">
            <w:pPr>
              <w:jc w:val="center"/>
              <w:rPr>
                <w:rFonts w:hint="eastAsia" w:ascii="宋体" w:hAnsi="宋体" w:cs="宋体"/>
                <w:lang w:val="en-US" w:eastAsia="zh-CN"/>
              </w:rPr>
            </w:pPr>
          </w:p>
        </w:tc>
        <w:tc>
          <w:tcPr>
            <w:tcW w:w="1077" w:type="dxa"/>
            <w:vMerge w:val="continue"/>
            <w:noWrap w:val="0"/>
            <w:vAlign w:val="center"/>
          </w:tcPr>
          <w:p w14:paraId="4F4CBDBF">
            <w:pPr>
              <w:widowControl/>
              <w:jc w:val="center"/>
              <w:textAlignment w:val="center"/>
              <w:rPr>
                <w:rFonts w:hint="eastAsia" w:ascii="宋体" w:hAnsi="宋体" w:cs="宋体"/>
                <w:kern w:val="0"/>
                <w:szCs w:val="21"/>
                <w:lang w:val="en-US" w:eastAsia="zh-CN" w:bidi="ar"/>
              </w:rPr>
            </w:pPr>
          </w:p>
        </w:tc>
      </w:tr>
      <w:tr w14:paraId="5B9C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761" w:type="dxa"/>
            <w:vMerge w:val="continue"/>
            <w:noWrap w:val="0"/>
            <w:vAlign w:val="center"/>
          </w:tcPr>
          <w:p w14:paraId="3397246F">
            <w:pPr>
              <w:spacing w:line="260" w:lineRule="exact"/>
              <w:ind w:right="200"/>
              <w:jc w:val="center"/>
              <w:rPr>
                <w:rFonts w:hint="eastAsia" w:ascii="宋体" w:hAnsi="宋体" w:cs="宋体"/>
                <w:szCs w:val="21"/>
                <w:lang w:val="en-US" w:eastAsia="zh-CN"/>
              </w:rPr>
            </w:pPr>
          </w:p>
        </w:tc>
        <w:tc>
          <w:tcPr>
            <w:tcW w:w="1391" w:type="dxa"/>
            <w:noWrap w:val="0"/>
            <w:vAlign w:val="center"/>
          </w:tcPr>
          <w:p w14:paraId="7A528907">
            <w:pPr>
              <w:spacing w:line="260" w:lineRule="exact"/>
              <w:ind w:right="200"/>
              <w:jc w:val="center"/>
              <w:rPr>
                <w:rFonts w:hint="default"/>
                <w:lang w:val="en-US" w:eastAsia="zh-CN"/>
              </w:rPr>
            </w:pPr>
            <w:r>
              <w:rPr>
                <w:rFonts w:hint="eastAsia"/>
                <w:lang w:val="en-US" w:eastAsia="zh-CN"/>
              </w:rPr>
              <w:t>滑板场</w:t>
            </w:r>
          </w:p>
        </w:tc>
        <w:tc>
          <w:tcPr>
            <w:tcW w:w="2044" w:type="dxa"/>
            <w:vMerge w:val="continue"/>
            <w:noWrap w:val="0"/>
            <w:vAlign w:val="center"/>
          </w:tcPr>
          <w:p w14:paraId="0942E76A">
            <w:pPr>
              <w:spacing w:line="260" w:lineRule="exact"/>
              <w:ind w:right="200"/>
              <w:jc w:val="center"/>
              <w:rPr>
                <w:rFonts w:hint="eastAsia"/>
                <w:lang w:val="en-US" w:eastAsia="zh-CN"/>
              </w:rPr>
            </w:pPr>
          </w:p>
        </w:tc>
        <w:tc>
          <w:tcPr>
            <w:tcW w:w="2150" w:type="dxa"/>
            <w:noWrap w:val="0"/>
            <w:vAlign w:val="center"/>
          </w:tcPr>
          <w:p w14:paraId="68881305">
            <w:pPr>
              <w:spacing w:line="260" w:lineRule="exact"/>
              <w:ind w:right="200"/>
              <w:jc w:val="center"/>
              <w:rPr>
                <w:rFonts w:hint="default" w:ascii="宋体" w:hAnsi="宋体" w:cs="宋体"/>
                <w:lang w:val="en-US" w:eastAsia="zh-CN"/>
              </w:rPr>
            </w:pPr>
            <w:r>
              <w:rPr>
                <w:rFonts w:hint="eastAsia" w:ascii="宋体" w:hAnsi="宋体" w:cs="宋体"/>
                <w:lang w:val="en-US" w:eastAsia="zh-CN"/>
              </w:rPr>
              <w:t>899.22</w:t>
            </w:r>
          </w:p>
        </w:tc>
        <w:tc>
          <w:tcPr>
            <w:tcW w:w="1161" w:type="dxa"/>
            <w:vMerge w:val="continue"/>
            <w:noWrap w:val="0"/>
            <w:vAlign w:val="center"/>
          </w:tcPr>
          <w:p w14:paraId="17394B34">
            <w:pPr>
              <w:jc w:val="center"/>
              <w:rPr>
                <w:rFonts w:hint="eastAsia" w:ascii="宋体" w:hAnsi="宋体" w:cs="宋体"/>
                <w:lang w:val="en-US" w:eastAsia="zh-CN"/>
              </w:rPr>
            </w:pPr>
          </w:p>
        </w:tc>
        <w:tc>
          <w:tcPr>
            <w:tcW w:w="992" w:type="dxa"/>
            <w:vMerge w:val="continue"/>
            <w:noWrap w:val="0"/>
            <w:vAlign w:val="center"/>
          </w:tcPr>
          <w:p w14:paraId="26F191D0">
            <w:pPr>
              <w:jc w:val="center"/>
              <w:rPr>
                <w:rFonts w:hint="eastAsia" w:ascii="宋体" w:hAnsi="宋体" w:cs="宋体"/>
                <w:lang w:val="en-US" w:eastAsia="zh-CN"/>
              </w:rPr>
            </w:pPr>
          </w:p>
        </w:tc>
        <w:tc>
          <w:tcPr>
            <w:tcW w:w="1077" w:type="dxa"/>
            <w:vMerge w:val="continue"/>
            <w:noWrap w:val="0"/>
            <w:vAlign w:val="center"/>
          </w:tcPr>
          <w:p w14:paraId="7876ECBD">
            <w:pPr>
              <w:widowControl/>
              <w:jc w:val="center"/>
              <w:textAlignment w:val="center"/>
              <w:rPr>
                <w:rFonts w:hint="eastAsia" w:ascii="宋体" w:hAnsi="宋体" w:cs="宋体"/>
                <w:kern w:val="0"/>
                <w:szCs w:val="21"/>
                <w:lang w:val="en-US" w:eastAsia="zh-CN" w:bidi="ar"/>
              </w:rPr>
            </w:pPr>
          </w:p>
        </w:tc>
      </w:tr>
    </w:tbl>
    <w:p w14:paraId="5ED65A44">
      <w:pPr>
        <w:spacing w:line="420" w:lineRule="exact"/>
        <w:ind w:firstLine="482" w:firstLineChars="200"/>
        <w:rPr>
          <w:rFonts w:hint="eastAsia" w:ascii="宋体" w:hAnsi="宋体"/>
          <w:b/>
          <w:color w:val="FF0000"/>
          <w:sz w:val="24"/>
          <w:szCs w:val="24"/>
          <w:lang w:eastAsia="zh-CN"/>
        </w:rPr>
      </w:pPr>
      <w:bookmarkStart w:id="0" w:name="_GoBack"/>
      <w:bookmarkEnd w:id="0"/>
    </w:p>
    <w:p w14:paraId="0BC439EF">
      <w:pPr>
        <w:spacing w:line="420" w:lineRule="exact"/>
        <w:ind w:firstLine="482" w:firstLineChars="200"/>
        <w:rPr>
          <w:rFonts w:hint="eastAsia" w:ascii="宋体" w:hAnsi="宋体"/>
          <w:b/>
          <w:color w:val="FF0000"/>
          <w:sz w:val="24"/>
          <w:szCs w:val="24"/>
          <w:lang w:eastAsia="zh-CN"/>
        </w:rPr>
      </w:pPr>
      <w:r>
        <w:rPr>
          <w:rFonts w:hint="eastAsia" w:ascii="宋体" w:hAnsi="宋体"/>
          <w:b/>
          <w:color w:val="FF0000"/>
          <w:sz w:val="24"/>
          <w:szCs w:val="24"/>
          <w:lang w:eastAsia="zh-CN"/>
        </w:rPr>
        <w:t>特别注意：</w:t>
      </w:r>
    </w:p>
    <w:p w14:paraId="4DDD2B32">
      <w:pPr>
        <w:numPr>
          <w:ilvl w:val="0"/>
          <w:numId w:val="1"/>
        </w:numPr>
        <w:spacing w:line="420" w:lineRule="exact"/>
        <w:ind w:firstLine="482" w:firstLineChars="200"/>
        <w:rPr>
          <w:rFonts w:hint="eastAsia" w:ascii="宋体" w:hAnsi="宋体" w:cs="宋体"/>
          <w:b/>
          <w:bCs w:val="0"/>
          <w:color w:val="auto"/>
          <w:sz w:val="24"/>
          <w:szCs w:val="24"/>
          <w:lang w:eastAsia="zh-CN"/>
        </w:rPr>
      </w:pPr>
      <w:r>
        <w:rPr>
          <w:rFonts w:hint="eastAsia" w:ascii="宋体" w:hAnsi="宋体"/>
          <w:b/>
          <w:bCs w:val="0"/>
          <w:color w:val="auto"/>
          <w:sz w:val="24"/>
          <w:szCs w:val="24"/>
          <w:lang w:val="en-US" w:eastAsia="zh-CN"/>
        </w:rPr>
        <w:t>标的日常运营中的</w:t>
      </w:r>
      <w:r>
        <w:rPr>
          <w:rFonts w:hint="eastAsia" w:ascii="宋体" w:hAnsi="宋体" w:eastAsia="宋体" w:cs="宋体"/>
          <w:b/>
          <w:bCs w:val="0"/>
          <w:color w:val="auto"/>
          <w:sz w:val="24"/>
          <w:szCs w:val="24"/>
        </w:rPr>
        <w:t>水、电、通讯、物业管理费等一切经营费用以及出租使用期间的日常维修、维护、保养</w:t>
      </w:r>
      <w:r>
        <w:rPr>
          <w:rFonts w:hint="eastAsia" w:ascii="宋体" w:hAnsi="宋体" w:eastAsia="宋体" w:cs="宋体"/>
          <w:b/>
          <w:bCs w:val="0"/>
          <w:color w:val="auto"/>
          <w:sz w:val="24"/>
          <w:szCs w:val="24"/>
          <w:lang w:eastAsia="zh-CN"/>
        </w:rPr>
        <w:t>、扩容</w:t>
      </w:r>
      <w:r>
        <w:rPr>
          <w:rFonts w:hint="eastAsia" w:ascii="宋体" w:hAnsi="宋体" w:eastAsia="宋体" w:cs="宋体"/>
          <w:b/>
          <w:bCs w:val="0"/>
          <w:color w:val="auto"/>
          <w:sz w:val="24"/>
          <w:szCs w:val="24"/>
        </w:rPr>
        <w:t>等一切费用,均由</w:t>
      </w:r>
      <w:r>
        <w:rPr>
          <w:rFonts w:hint="eastAsia" w:ascii="宋体" w:hAnsi="宋体" w:eastAsia="宋体" w:cs="宋体"/>
          <w:b/>
          <w:bCs w:val="0"/>
          <w:color w:val="auto"/>
          <w:sz w:val="24"/>
          <w:szCs w:val="24"/>
          <w:lang w:eastAsia="zh-CN"/>
        </w:rPr>
        <w:t>买受人（承租人）</w:t>
      </w:r>
      <w:r>
        <w:rPr>
          <w:rFonts w:hint="eastAsia" w:ascii="宋体" w:hAnsi="宋体" w:eastAsia="宋体" w:cs="宋体"/>
          <w:b/>
          <w:bCs w:val="0"/>
          <w:color w:val="auto"/>
          <w:sz w:val="24"/>
          <w:szCs w:val="24"/>
        </w:rPr>
        <w:t>承担并自行结算</w:t>
      </w:r>
      <w:r>
        <w:rPr>
          <w:rFonts w:hint="eastAsia" w:ascii="宋体" w:hAnsi="宋体" w:cs="宋体"/>
          <w:b/>
          <w:bCs w:val="0"/>
          <w:color w:val="auto"/>
          <w:sz w:val="24"/>
          <w:szCs w:val="24"/>
          <w:lang w:eastAsia="zh-CN"/>
        </w:rPr>
        <w:t>。</w:t>
      </w:r>
    </w:p>
    <w:p w14:paraId="4EE9810F">
      <w:pPr>
        <w:numPr>
          <w:ilvl w:val="0"/>
          <w:numId w:val="1"/>
        </w:numPr>
        <w:spacing w:line="420" w:lineRule="exact"/>
        <w:ind w:firstLine="482" w:firstLineChars="200"/>
        <w:rPr>
          <w:rFonts w:hint="eastAsia" w:ascii="宋体" w:hAnsi="宋体" w:cs="宋体"/>
          <w:b/>
          <w:bCs w:val="0"/>
          <w:color w:val="auto"/>
          <w:sz w:val="24"/>
          <w:szCs w:val="24"/>
          <w:lang w:val="en-US" w:eastAsia="zh-CN"/>
        </w:rPr>
      </w:pPr>
      <w:r>
        <w:rPr>
          <w:rFonts w:hint="eastAsia" w:ascii="宋体" w:hAnsi="宋体" w:cs="宋体"/>
          <w:b/>
          <w:bCs w:val="0"/>
          <w:color w:val="auto"/>
          <w:sz w:val="24"/>
          <w:szCs w:val="24"/>
          <w:lang w:val="en-US" w:eastAsia="zh-CN"/>
        </w:rPr>
        <w:t>街道如需举办公益性活动，</w:t>
      </w:r>
      <w:r>
        <w:rPr>
          <w:rFonts w:hint="eastAsia" w:ascii="宋体" w:hAnsi="宋体" w:eastAsia="宋体" w:cs="宋体"/>
          <w:b/>
          <w:bCs w:val="0"/>
          <w:color w:val="auto"/>
          <w:sz w:val="24"/>
          <w:szCs w:val="24"/>
          <w:lang w:eastAsia="zh-CN"/>
        </w:rPr>
        <w:t>买受人（承租人）</w:t>
      </w:r>
      <w:r>
        <w:rPr>
          <w:rFonts w:hint="eastAsia" w:ascii="宋体" w:hAnsi="宋体" w:cs="宋体"/>
          <w:b/>
          <w:bCs w:val="0"/>
          <w:color w:val="auto"/>
          <w:sz w:val="24"/>
          <w:szCs w:val="24"/>
          <w:lang w:val="en-US" w:eastAsia="zh-CN"/>
        </w:rPr>
        <w:t>需协助配合，全年无偿使用不少于10次。</w:t>
      </w:r>
    </w:p>
    <w:p w14:paraId="2D23AF51">
      <w:pPr>
        <w:numPr>
          <w:ilvl w:val="0"/>
          <w:numId w:val="1"/>
        </w:numPr>
        <w:spacing w:line="420" w:lineRule="exact"/>
        <w:ind w:firstLine="482" w:firstLineChars="200"/>
        <w:rPr>
          <w:rFonts w:hint="eastAsia" w:ascii="宋体" w:hAnsi="宋体" w:eastAsia="宋体" w:cs="宋体"/>
          <w:b/>
          <w:bCs/>
          <w:color w:val="auto"/>
          <w:kern w:val="0"/>
          <w:sz w:val="24"/>
          <w:szCs w:val="24"/>
          <w:lang w:val="en-US" w:eastAsia="zh-CN"/>
        </w:rPr>
      </w:pPr>
      <w:r>
        <w:rPr>
          <w:rFonts w:hint="eastAsia" w:ascii="宋体" w:hAnsi="宋体" w:eastAsia="宋体" w:cs="宋体"/>
          <w:b/>
          <w:bCs w:val="0"/>
          <w:color w:val="auto"/>
          <w:sz w:val="24"/>
          <w:szCs w:val="24"/>
          <w:lang w:eastAsia="zh-CN"/>
        </w:rPr>
        <w:t>买受人（承租人）</w:t>
      </w:r>
      <w:r>
        <w:rPr>
          <w:rFonts w:hint="eastAsia" w:ascii="宋体" w:hAnsi="宋体" w:eastAsia="宋体" w:cs="宋体"/>
          <w:b/>
          <w:bCs/>
          <w:color w:val="auto"/>
          <w:kern w:val="0"/>
          <w:sz w:val="24"/>
          <w:szCs w:val="24"/>
          <w:lang w:eastAsia="zh-CN"/>
        </w:rPr>
        <w:t>负责骆驼桥体育场区域内公共秩序维护、设备设施管理、卫生保洁及甲方交办的其他物业服务项目（总涉及面积达26145平方米）。经过</w:t>
      </w:r>
      <w:r>
        <w:rPr>
          <w:rFonts w:hint="eastAsia" w:ascii="宋体" w:hAnsi="宋体" w:eastAsia="宋体" w:cs="宋体"/>
          <w:b/>
          <w:bCs/>
          <w:color w:val="auto"/>
          <w:kern w:val="0"/>
          <w:sz w:val="24"/>
          <w:szCs w:val="24"/>
          <w:lang w:val="en-US" w:eastAsia="zh-CN"/>
        </w:rPr>
        <w:t>委托方（</w:t>
      </w:r>
      <w:r>
        <w:rPr>
          <w:rFonts w:hint="eastAsia" w:ascii="宋体" w:hAnsi="宋体" w:eastAsia="宋体" w:cs="宋体"/>
          <w:b/>
          <w:bCs/>
          <w:color w:val="auto"/>
          <w:kern w:val="0"/>
          <w:sz w:val="24"/>
          <w:szCs w:val="24"/>
          <w:lang w:eastAsia="zh-CN"/>
        </w:rPr>
        <w:t>出租</w:t>
      </w:r>
      <w:r>
        <w:rPr>
          <w:rFonts w:hint="eastAsia" w:ascii="宋体" w:hAnsi="宋体" w:eastAsia="宋体" w:cs="宋体"/>
          <w:b/>
          <w:bCs/>
          <w:color w:val="auto"/>
          <w:kern w:val="0"/>
          <w:sz w:val="24"/>
          <w:szCs w:val="24"/>
          <w:lang w:val="en-US" w:eastAsia="zh-CN"/>
        </w:rPr>
        <w:t>人）</w:t>
      </w:r>
      <w:r>
        <w:rPr>
          <w:rFonts w:hint="eastAsia" w:ascii="宋体" w:hAnsi="宋体" w:eastAsia="宋体" w:cs="宋体"/>
          <w:b/>
          <w:bCs/>
          <w:color w:val="auto"/>
          <w:kern w:val="0"/>
          <w:sz w:val="24"/>
          <w:szCs w:val="24"/>
          <w:lang w:eastAsia="zh-CN"/>
        </w:rPr>
        <w:t>考核，考核分在90分（不含）以上的返还年度租金的90%，考核分在80分（不含）以上、90分（含）以下的返还年度租金的80%，考核分80分（含）以下的返还年度租金的60，考核分60分（含）以下或由于管理不力对市民群众的身心造成较大影响而引起举报、新闻曝光等次数一年内超过2次的，不予以返还当年租金，且委托人（出租人）有权单方面解除合同。具体考核规则以委托人（出租人）出具的（租赁合同）条款为准</w:t>
      </w:r>
      <w:r>
        <w:rPr>
          <w:rFonts w:hint="eastAsia" w:ascii="宋体" w:hAnsi="宋体" w:cs="宋体"/>
          <w:b/>
          <w:bCs/>
          <w:color w:val="auto"/>
          <w:kern w:val="0"/>
          <w:sz w:val="24"/>
          <w:szCs w:val="24"/>
          <w:lang w:eastAsia="zh-CN"/>
        </w:rPr>
        <w:t>。</w:t>
      </w:r>
    </w:p>
    <w:p w14:paraId="4496AB7E">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3E2088E5">
      <w:pPr>
        <w:pStyle w:val="11"/>
        <w:numPr>
          <w:ilvl w:val="0"/>
          <w:numId w:val="2"/>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59037A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59AF2493">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27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F956AA7">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73401F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0663C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696314D">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A4C9975">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F4DF5F1">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2</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D0F21F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27F683">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7FD544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990196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DDCF3C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FEC07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03DF9640">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66FF4D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CFBCC9C">
      <w:pPr>
        <w:pStyle w:val="4"/>
        <w:spacing w:line="500" w:lineRule="exact"/>
        <w:ind w:left="0" w:leftChars="0" w:right="69" w:rightChars="33" w:firstLine="482"/>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5日内签订</w:t>
      </w:r>
      <w:r>
        <w:rPr>
          <w:rFonts w:hint="eastAsia" w:ascii="宋体" w:hAnsi="宋体" w:eastAsia="宋体" w:cs="宋体"/>
          <w:color w:val="auto"/>
          <w:spacing w:val="-4"/>
          <w:sz w:val="24"/>
          <w:szCs w:val="24"/>
          <w:u w:val="single"/>
          <w:lang w:eastAsia="zh-CN"/>
        </w:rPr>
        <w:t>《租赁合同》</w:t>
      </w:r>
      <w:r>
        <w:rPr>
          <w:rFonts w:hint="eastAsia" w:ascii="宋体" w:hAnsi="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并于15日内</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val="en-US" w:eastAsia="zh-CN"/>
        </w:rPr>
        <w:t>3万元整人民币</w:t>
      </w:r>
      <w:r>
        <w:rPr>
          <w:rFonts w:hint="eastAsia" w:ascii="宋体" w:hAnsi="宋体" w:eastAsia="宋体" w:cs="宋体"/>
          <w:b/>
          <w:bCs/>
          <w:color w:val="auto"/>
          <w:kern w:val="0"/>
          <w:sz w:val="24"/>
          <w:szCs w:val="24"/>
          <w:u w:val="single"/>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cs="宋体"/>
          <w:color w:val="auto"/>
          <w:sz w:val="24"/>
          <w:szCs w:val="24"/>
          <w:u w:val="single"/>
          <w:lang w:eastAsia="zh-CN"/>
        </w:rPr>
        <w:t>宁波市镇海文旅集团有限公司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eastAsia="宋体" w:cs="宋体"/>
          <w:color w:val="auto"/>
          <w:sz w:val="24"/>
          <w:szCs w:val="24"/>
          <w:u w:val="single"/>
        </w:rPr>
        <w:t>宁波银行骆驼支行</w:t>
      </w:r>
      <w:r>
        <w:rPr>
          <w:rFonts w:hint="eastAsia" w:ascii="宋体" w:hAnsi="宋体" w:cs="宋体"/>
          <w:color w:val="auto"/>
          <w:sz w:val="24"/>
          <w:szCs w:val="24"/>
          <w:u w:val="none"/>
          <w:lang w:eastAsia="zh-CN"/>
        </w:rPr>
        <w:t>，账号：</w:t>
      </w:r>
      <w:r>
        <w:rPr>
          <w:rFonts w:hint="eastAsia" w:ascii="宋体" w:hAnsi="宋体" w:cs="宋体"/>
          <w:color w:val="auto"/>
          <w:sz w:val="24"/>
          <w:szCs w:val="24"/>
          <w:u w:val="single"/>
          <w:lang w:val="en-US" w:eastAsia="zh-CN"/>
        </w:rPr>
        <w:t>52020122000408371</w:t>
      </w:r>
      <w:r>
        <w:rPr>
          <w:rFonts w:hint="eastAsia" w:ascii="宋体" w:hAnsi="宋体" w:eastAsia="宋体" w:cs="宋体"/>
          <w:color w:val="auto"/>
          <w:spacing w:val="-4"/>
          <w:sz w:val="24"/>
          <w:szCs w:val="24"/>
          <w:u w:val="single"/>
          <w:lang w:eastAsia="zh-CN"/>
        </w:rPr>
        <w:t>；</w:t>
      </w:r>
    </w:p>
    <w:p w14:paraId="7F8C126A">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D22D2BB">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26CDB185">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83F5D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ED58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2904AC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kern w:val="0"/>
          <w:sz w:val="24"/>
          <w:szCs w:val="24"/>
          <w:lang w:val="en-US" w:eastAsia="zh-CN"/>
        </w:rPr>
        <w:t>4、</w:t>
      </w:r>
      <w:r>
        <w:rPr>
          <w:rFonts w:hint="eastAsia" w:ascii="宋体" w:hAnsi="宋体" w:cs="宋体"/>
          <w:b/>
          <w:bCs/>
          <w:color w:val="auto"/>
          <w:kern w:val="0"/>
          <w:sz w:val="24"/>
          <w:szCs w:val="24"/>
          <w:lang w:val="en-US" w:eastAsia="zh-CN"/>
        </w:rPr>
        <w:t>标的移交后</w:t>
      </w:r>
      <w:r>
        <w:rPr>
          <w:rFonts w:hint="eastAsia" w:ascii="宋体" w:hAnsi="宋体" w:eastAsia="宋体" w:cs="宋体"/>
          <w:b/>
          <w:bCs/>
          <w:color w:val="auto"/>
          <w:sz w:val="24"/>
          <w:szCs w:val="24"/>
          <w:lang w:eastAsia="zh-CN"/>
        </w:rPr>
        <w:t>买受人（承租人）</w:t>
      </w:r>
      <w:r>
        <w:rPr>
          <w:rFonts w:hint="eastAsia" w:ascii="宋体" w:hAnsi="宋体" w:cs="宋体"/>
          <w:b/>
          <w:bCs/>
          <w:color w:val="auto"/>
          <w:kern w:val="0"/>
          <w:sz w:val="24"/>
          <w:szCs w:val="24"/>
          <w:lang w:val="en-US" w:eastAsia="zh-CN"/>
        </w:rPr>
        <w:t>负责管理范围内的消防、用电和交通等安全责任，运营单位对桥梁的桩墩、板进行有效保护，避免其遭受桥下空间的车辆、人员等的直接撞击和破坏；确保桥下空间内严禁堆放易燃、易爆等物品，避免对桥梁安全和高速公路安全畅通产生影响。处理好分管区内的投诉同时配合街道做好该区域的信访问题。</w:t>
      </w:r>
    </w:p>
    <w:p w14:paraId="204A41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F4B5925">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bCs/>
          <w:sz w:val="24"/>
          <w:szCs w:val="24"/>
          <w:shd w:val="clear" w:color="auto" w:fill="auto"/>
          <w:lang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w:t>
      </w:r>
      <w:r>
        <w:rPr>
          <w:rFonts w:hint="eastAsia" w:ascii="宋体" w:hAnsi="宋体" w:cs="宋体"/>
          <w:b w:val="0"/>
          <w:bCs w:val="0"/>
          <w:sz w:val="24"/>
          <w:szCs w:val="24"/>
          <w:shd w:val="clear" w:color="auto" w:fill="auto"/>
          <w:lang w:val="en-US" w:eastAsia="zh-CN"/>
        </w:rPr>
        <w:t>场地</w:t>
      </w:r>
      <w:r>
        <w:rPr>
          <w:rFonts w:hint="eastAsia" w:ascii="宋体" w:hAnsi="宋体" w:eastAsia="宋体" w:cs="宋体"/>
          <w:b w:val="0"/>
          <w:bCs w:val="0"/>
          <w:sz w:val="24"/>
          <w:szCs w:val="24"/>
          <w:shd w:val="clear" w:color="auto" w:fill="auto"/>
          <w:lang w:val="en-US" w:eastAsia="zh-CN"/>
        </w:rPr>
        <w:t>移交</w:t>
      </w:r>
    </w:p>
    <w:p w14:paraId="0164078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w:t>
      </w:r>
      <w:r>
        <w:rPr>
          <w:rFonts w:hint="eastAsia" w:ascii="宋体" w:hAnsi="宋体" w:cs="宋体"/>
          <w:b/>
          <w:bCs/>
          <w:sz w:val="24"/>
          <w:szCs w:val="24"/>
          <w:shd w:val="clear" w:color="auto" w:fill="auto"/>
          <w:lang w:val="en-US" w:eastAsia="zh-CN"/>
        </w:rPr>
        <w:t>场地</w:t>
      </w:r>
      <w:r>
        <w:rPr>
          <w:rFonts w:hint="eastAsia" w:ascii="宋体" w:hAnsi="宋体" w:eastAsia="宋体" w:cs="宋体"/>
          <w:b/>
          <w:bCs/>
          <w:sz w:val="24"/>
          <w:szCs w:val="24"/>
          <w:shd w:val="clear" w:color="auto" w:fill="auto"/>
          <w:lang w:eastAsia="zh-CN"/>
        </w:rPr>
        <w:t>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cs="宋体"/>
          <w:b/>
          <w:bCs/>
          <w:sz w:val="24"/>
          <w:szCs w:val="24"/>
          <w:shd w:val="clear" w:color="auto" w:fill="auto"/>
          <w:lang w:val="en-US" w:eastAsia="zh-CN"/>
        </w:rPr>
        <w:t>场地</w:t>
      </w:r>
      <w:r>
        <w:rPr>
          <w:rFonts w:hint="eastAsia" w:ascii="宋体" w:hAnsi="宋体" w:eastAsia="宋体" w:cs="宋体"/>
          <w:b/>
          <w:bCs/>
          <w:sz w:val="24"/>
          <w:szCs w:val="24"/>
          <w:shd w:val="clear" w:color="auto" w:fill="auto"/>
        </w:rPr>
        <w:t>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1D9A43D4">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F93411B">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60D3E7A1">
      <w:pPr>
        <w:pStyle w:val="7"/>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2</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如实际有出入，以实际面积为准，成交款（租金）不作退补。</w:t>
      </w:r>
    </w:p>
    <w:p w14:paraId="54A3D865">
      <w:pPr>
        <w:pStyle w:val="7"/>
        <w:widowControl/>
        <w:spacing w:beforeAutospacing="0" w:afterAutospacing="0" w:line="360" w:lineRule="auto"/>
        <w:ind w:firstLine="480" w:firstLineChars="200"/>
        <w:rPr>
          <w:rFonts w:hint="eastAsia" w:ascii="宋体" w:hAnsi="宋体" w:eastAsia="宋体"/>
          <w:b/>
          <w:bCs/>
          <w:color w:val="auto"/>
          <w:sz w:val="24"/>
          <w:lang w:val="en-US" w:eastAsia="zh-CN"/>
        </w:rPr>
      </w:pPr>
      <w:r>
        <w:rPr>
          <w:rFonts w:hint="eastAsia" w:ascii="宋体" w:hAnsi="宋体"/>
          <w:color w:val="auto"/>
          <w:sz w:val="24"/>
          <w:lang w:val="en-US" w:eastAsia="zh-CN"/>
        </w:rPr>
        <w:t>3、</w:t>
      </w:r>
      <w:r>
        <w:rPr>
          <w:rFonts w:hint="eastAsia" w:ascii="宋体" w:hAnsi="宋体" w:eastAsia="宋体" w:cs="宋体"/>
          <w:b/>
          <w:bCs/>
          <w:color w:val="auto"/>
          <w:kern w:val="0"/>
          <w:sz w:val="24"/>
          <w:szCs w:val="24"/>
        </w:rPr>
        <w:t>如需对租赁</w:t>
      </w:r>
      <w:r>
        <w:rPr>
          <w:rFonts w:hint="eastAsia" w:ascii="宋体" w:hAnsi="宋体" w:cs="宋体"/>
          <w:b/>
          <w:bCs/>
          <w:color w:val="auto"/>
          <w:kern w:val="0"/>
          <w:sz w:val="24"/>
          <w:szCs w:val="24"/>
          <w:lang w:val="en-US" w:eastAsia="zh-CN"/>
        </w:rPr>
        <w:t>场地</w:t>
      </w:r>
      <w:r>
        <w:rPr>
          <w:rFonts w:hint="eastAsia" w:ascii="宋体" w:hAnsi="宋体" w:eastAsia="宋体" w:cs="宋体"/>
          <w:b/>
          <w:bCs/>
          <w:color w:val="auto"/>
          <w:kern w:val="0"/>
          <w:sz w:val="24"/>
          <w:szCs w:val="24"/>
        </w:rPr>
        <w:t>进行装修或增扩设备时，需征得街道及宁波绕城东段高速公路有限公司同意。</w:t>
      </w:r>
      <w:r>
        <w:rPr>
          <w:rFonts w:hint="eastAsia" w:ascii="宋体" w:hAnsi="宋体" w:eastAsia="宋体" w:cs="宋体"/>
          <w:b/>
          <w:bCs/>
          <w:sz w:val="24"/>
          <w:szCs w:val="24"/>
        </w:rPr>
        <w:t>按规定报消防、城管、房管等相关部门审批同意方可装修</w:t>
      </w:r>
      <w:r>
        <w:rPr>
          <w:rFonts w:hint="eastAsia" w:ascii="宋体" w:hAnsi="宋体" w:eastAsia="宋体" w:cs="宋体"/>
          <w:b/>
          <w:bCs/>
          <w:sz w:val="24"/>
          <w:szCs w:val="24"/>
          <w:lang w:eastAsia="zh-CN"/>
        </w:rPr>
        <w:t>，</w:t>
      </w:r>
      <w:r>
        <w:rPr>
          <w:rFonts w:hint="eastAsia" w:ascii="宋体" w:hAnsi="宋体" w:eastAsia="宋体" w:cs="宋体"/>
          <w:b/>
          <w:bCs/>
          <w:color w:val="auto"/>
          <w:kern w:val="0"/>
          <w:sz w:val="24"/>
          <w:szCs w:val="24"/>
        </w:rPr>
        <w:t>费用</w:t>
      </w:r>
      <w:r>
        <w:rPr>
          <w:rFonts w:hint="eastAsia" w:ascii="宋体" w:hAnsi="宋体" w:eastAsia="宋体" w:cs="宋体"/>
          <w:b/>
          <w:bCs/>
          <w:sz w:val="24"/>
          <w:szCs w:val="24"/>
        </w:rPr>
        <w:t>和责任均由</w:t>
      </w:r>
      <w:r>
        <w:rPr>
          <w:rFonts w:hint="eastAsia" w:ascii="宋体" w:hAnsi="宋体" w:eastAsia="宋体" w:cs="宋体"/>
          <w:b/>
          <w:bCs/>
          <w:sz w:val="24"/>
          <w:szCs w:val="24"/>
          <w:lang w:eastAsia="zh-CN"/>
        </w:rPr>
        <w:t>承租人</w:t>
      </w:r>
      <w:r>
        <w:rPr>
          <w:rFonts w:hint="eastAsia" w:ascii="宋体" w:hAnsi="宋体" w:eastAsia="宋体" w:cs="宋体"/>
          <w:b/>
          <w:bCs/>
          <w:sz w:val="24"/>
          <w:szCs w:val="24"/>
        </w:rPr>
        <w:t>承担</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sz w:val="24"/>
          <w:szCs w:val="24"/>
        </w:rPr>
        <w:t>经委托人验收认可，</w:t>
      </w:r>
      <w:r>
        <w:rPr>
          <w:rFonts w:hint="eastAsia" w:ascii="宋体" w:hAnsi="宋体" w:cs="宋体"/>
          <w:b/>
          <w:bCs/>
          <w:sz w:val="24"/>
          <w:szCs w:val="24"/>
          <w:lang w:eastAsia="zh-CN"/>
        </w:rPr>
        <w:t>方可</w:t>
      </w:r>
      <w:r>
        <w:rPr>
          <w:rFonts w:hint="eastAsia" w:ascii="宋体" w:hAnsi="宋体" w:eastAsia="宋体" w:cs="宋体"/>
          <w:b/>
          <w:bCs/>
          <w:sz w:val="24"/>
          <w:szCs w:val="24"/>
        </w:rPr>
        <w:t>结清</w:t>
      </w:r>
      <w:r>
        <w:rPr>
          <w:rFonts w:hint="eastAsia" w:ascii="宋体" w:hAnsi="宋体" w:cs="宋体"/>
          <w:b/>
          <w:bCs/>
          <w:sz w:val="24"/>
          <w:szCs w:val="24"/>
          <w:lang w:eastAsia="zh-CN"/>
        </w:rPr>
        <w:t>相关</w:t>
      </w:r>
      <w:r>
        <w:rPr>
          <w:rFonts w:hint="eastAsia" w:ascii="宋体" w:hAnsi="宋体" w:eastAsia="宋体" w:cs="宋体"/>
          <w:b/>
          <w:bCs/>
          <w:sz w:val="24"/>
          <w:szCs w:val="24"/>
        </w:rPr>
        <w:t>费用</w:t>
      </w:r>
      <w:r>
        <w:rPr>
          <w:rFonts w:hint="eastAsia" w:ascii="宋体" w:hAnsi="宋体" w:cs="宋体"/>
          <w:b/>
          <w:bCs/>
          <w:sz w:val="24"/>
          <w:szCs w:val="24"/>
          <w:lang w:eastAsia="zh-CN"/>
        </w:rPr>
        <w:t>（履约保证金）</w:t>
      </w:r>
      <w:r>
        <w:rPr>
          <w:rFonts w:hint="eastAsia" w:ascii="宋体" w:hAnsi="宋体" w:eastAsia="宋体" w:cs="宋体"/>
          <w:b/>
          <w:bCs/>
          <w:sz w:val="24"/>
          <w:szCs w:val="24"/>
        </w:rPr>
        <w:t>。</w:t>
      </w:r>
    </w:p>
    <w:p w14:paraId="475AC7D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9BB65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w:t>
      </w:r>
      <w:r>
        <w:rPr>
          <w:rFonts w:hint="eastAsia" w:ascii="宋体" w:hAnsi="宋体" w:cs="宋体"/>
          <w:color w:val="auto"/>
          <w:sz w:val="24"/>
          <w:szCs w:val="24"/>
          <w:lang w:val="en-US" w:eastAsia="zh-CN"/>
        </w:rPr>
        <w:t>竞价</w:t>
      </w:r>
      <w:r>
        <w:rPr>
          <w:rFonts w:hint="eastAsia" w:ascii="宋体" w:hAnsi="宋体" w:eastAsia="宋体" w:cs="宋体"/>
          <w:color w:val="auto"/>
          <w:sz w:val="24"/>
          <w:szCs w:val="24"/>
        </w:rPr>
        <w:t>成功后另行主张标的物的瑕疵权利。</w:t>
      </w:r>
    </w:p>
    <w:p w14:paraId="203AC4C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2AEBC5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FBA72B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75619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5D3294B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C197F7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761660B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84129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《租赁合同》《租赁安全管理协议》</w:t>
      </w:r>
    </w:p>
    <w:p w14:paraId="16EFA425">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14D2A7C9">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67B007C1">
      <w:pPr>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租赁合同</w:t>
      </w:r>
    </w:p>
    <w:p w14:paraId="602ED994">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14:paraId="3EC32ECF">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color w:val="000000"/>
          <w:sz w:val="28"/>
          <w:szCs w:val="28"/>
        </w:rPr>
        <w:t xml:space="preserve">                          </w:t>
      </w:r>
    </w:p>
    <w:p w14:paraId="6A4A3D0C">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6D6547E4">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14:paraId="5CC7CF4D">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根据《中华人民共和国民法典》以及相关法律的规定，甲乙双方本着平等、自愿等原则，就场地租赁事宜，经协商一致签订本合同。</w:t>
      </w:r>
    </w:p>
    <w:p w14:paraId="5E200D7D">
      <w:pPr>
        <w:ind w:firstLine="643" w:firstLineChars="200"/>
        <w:rPr>
          <w:rFonts w:hint="eastAsia" w:ascii="黑体" w:hAnsi="黑体" w:eastAsia="黑体" w:cs="黑体"/>
          <w:b/>
          <w:color w:val="000000"/>
          <w:sz w:val="32"/>
          <w:szCs w:val="32"/>
        </w:rPr>
      </w:pPr>
      <w:r>
        <w:rPr>
          <w:rFonts w:hint="eastAsia" w:ascii="黑体" w:hAnsi="黑体" w:eastAsia="黑体" w:cs="黑体"/>
          <w:b/>
          <w:color w:val="000000"/>
          <w:sz w:val="32"/>
          <w:szCs w:val="32"/>
        </w:rPr>
        <w:t>一、租赁标的物</w:t>
      </w:r>
    </w:p>
    <w:p w14:paraId="6BA739B8">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 甲方将位于宁波市镇海区骆驼街道北端绕城高速桥下，慈海北路至西大河段范围（包括2片篮球场、2片足球场、</w:t>
      </w:r>
      <w:r>
        <w:rPr>
          <w:rFonts w:ascii="仿宋_GB2312" w:hAnsi="仿宋_GB2312" w:eastAsia="仿宋_GB2312" w:cs="仿宋_GB2312"/>
          <w:color w:val="000000"/>
          <w:sz w:val="32"/>
          <w:szCs w:val="32"/>
        </w:rPr>
        <w:t>1片轮滑场、1片滑板场</w:t>
      </w: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总计面积为4543.22平方的</w:t>
      </w:r>
      <w:r>
        <w:rPr>
          <w:rFonts w:hint="eastAsia" w:ascii="仿宋_GB2312" w:hAnsi="仿宋_GB2312" w:eastAsia="仿宋_GB2312" w:cs="仿宋_GB2312"/>
          <w:color w:val="000000"/>
          <w:sz w:val="32"/>
          <w:szCs w:val="32"/>
        </w:rPr>
        <w:t>场地及设施</w:t>
      </w:r>
      <w:r>
        <w:rPr>
          <w:rFonts w:ascii="仿宋_GB2312" w:hAnsi="仿宋_GB2312" w:eastAsia="仿宋_GB2312" w:cs="仿宋_GB2312"/>
          <w:color w:val="000000"/>
          <w:sz w:val="32"/>
          <w:szCs w:val="32"/>
        </w:rPr>
        <w:t>（见附件</w:t>
      </w:r>
      <w:r>
        <w:rPr>
          <w:rFonts w:hint="eastAsia" w:ascii="仿宋_GB2312" w:hAnsi="仿宋_GB2312" w:eastAsia="仿宋_GB2312" w:cs="仿宋_GB2312"/>
          <w:color w:val="000000"/>
          <w:sz w:val="32"/>
          <w:szCs w:val="32"/>
        </w:rPr>
        <w:t>二</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出租给乙方（下称“租赁场地”）。</w:t>
      </w:r>
    </w:p>
    <w:p w14:paraId="1E99317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乙方承租的场地用途为：</w:t>
      </w:r>
      <w:r>
        <w:rPr>
          <w:rFonts w:hint="eastAsia" w:ascii="仿宋_GB2312" w:hAnsi="仿宋_GB2312" w:eastAsia="仿宋_GB2312" w:cs="仿宋_GB2312"/>
          <w:color w:val="000000"/>
          <w:sz w:val="32"/>
          <w:szCs w:val="32"/>
          <w:u w:val="single"/>
        </w:rPr>
        <w:t>体育场地运营，具体经营范围按照其营业执照规定的经营范围确定</w:t>
      </w:r>
      <w:r>
        <w:rPr>
          <w:rFonts w:hint="eastAsia" w:ascii="仿宋_GB2312" w:hAnsi="仿宋_GB2312" w:eastAsia="仿宋_GB2312" w:cs="仿宋_GB2312"/>
          <w:color w:val="000000"/>
          <w:sz w:val="32"/>
          <w:szCs w:val="32"/>
        </w:rPr>
        <w:t>，未经甲方书面同意以及按规定经有关部门审核批准，乙方不得私自改变场地用途。</w:t>
      </w:r>
    </w:p>
    <w:p w14:paraId="78064A0C">
      <w:pPr>
        <w:ind w:firstLine="643" w:firstLineChars="200"/>
        <w:rPr>
          <w:rFonts w:hint="eastAsia" w:ascii="黑体" w:hAnsi="黑体" w:eastAsia="黑体" w:cs="黑体"/>
          <w:b/>
          <w:color w:val="000000"/>
          <w:sz w:val="32"/>
          <w:szCs w:val="32"/>
        </w:rPr>
      </w:pPr>
      <w:r>
        <w:rPr>
          <w:rFonts w:hint="eastAsia" w:ascii="黑体" w:hAnsi="黑体" w:eastAsia="黑体" w:cs="黑体"/>
          <w:b/>
          <w:color w:val="000000"/>
          <w:sz w:val="32"/>
          <w:szCs w:val="32"/>
        </w:rPr>
        <w:t>二、租赁期限</w:t>
      </w:r>
    </w:p>
    <w:p w14:paraId="639C1473">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228543CB">
      <w:pPr>
        <w:ind w:firstLine="643" w:firstLineChars="200"/>
        <w:rPr>
          <w:rFonts w:hint="eastAsia" w:ascii="黑体" w:hAnsi="黑体" w:eastAsia="黑体" w:cs="黑体"/>
          <w:b/>
          <w:color w:val="000000"/>
          <w:sz w:val="32"/>
          <w:szCs w:val="32"/>
        </w:rPr>
      </w:pPr>
      <w:r>
        <w:rPr>
          <w:rFonts w:hint="eastAsia" w:ascii="黑体" w:hAnsi="黑体" w:eastAsia="黑体" w:cs="黑体"/>
          <w:b/>
          <w:color w:val="000000"/>
          <w:sz w:val="32"/>
          <w:szCs w:val="32"/>
        </w:rPr>
        <w:t>三、租金、履约保证金及支付方式</w:t>
      </w:r>
    </w:p>
    <w:p w14:paraId="118C6B4D">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租赁场地年租金（含税）合计人民币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）。租金一年一付，每壹年为一期，乙方应在</w:t>
      </w:r>
      <w:r>
        <w:rPr>
          <w:rFonts w:ascii="仿宋_GB2312" w:hAnsi="仿宋_GB2312" w:eastAsia="仿宋_GB2312" w:cs="仿宋_GB2312"/>
          <w:color w:val="000000"/>
          <w:sz w:val="32"/>
          <w:szCs w:val="32"/>
        </w:rPr>
        <w:t>竞价成交后5</w:t>
      </w:r>
      <w:r>
        <w:rPr>
          <w:rFonts w:hint="eastAsia" w:ascii="仿宋_GB2312" w:hAnsi="仿宋_GB2312" w:eastAsia="仿宋_GB2312" w:cs="仿宋_GB2312"/>
          <w:color w:val="000000"/>
          <w:sz w:val="32"/>
          <w:szCs w:val="32"/>
        </w:rPr>
        <w:t>日</w:t>
      </w:r>
      <w:r>
        <w:rPr>
          <w:rFonts w:ascii="仿宋_GB2312" w:hAnsi="仿宋_GB2312" w:eastAsia="仿宋_GB2312" w:cs="仿宋_GB2312"/>
          <w:color w:val="000000"/>
          <w:sz w:val="32"/>
          <w:szCs w:val="32"/>
        </w:rPr>
        <w:t>内</w:t>
      </w:r>
      <w:r>
        <w:rPr>
          <w:rFonts w:hint="eastAsia" w:ascii="仿宋_GB2312" w:hAnsi="仿宋_GB2312" w:eastAsia="仿宋_GB2312" w:cs="仿宋_GB2312"/>
          <w:color w:val="000000"/>
          <w:sz w:val="32"/>
          <w:szCs w:val="32"/>
        </w:rPr>
        <w:t>签订</w:t>
      </w:r>
      <w:r>
        <w:rPr>
          <w:rFonts w:ascii="仿宋_GB2312" w:hAnsi="仿宋_GB2312" w:eastAsia="仿宋_GB2312" w:cs="仿宋_GB2312"/>
          <w:color w:val="000000"/>
          <w:sz w:val="32"/>
          <w:szCs w:val="32"/>
        </w:rPr>
        <w:t>本合同，并于</w:t>
      </w:r>
      <w:r>
        <w:rPr>
          <w:rFonts w:hint="eastAsia" w:ascii="仿宋_GB2312" w:hAnsi="仿宋_GB2312" w:eastAsia="仿宋_GB2312" w:cs="仿宋_GB2312"/>
          <w:color w:val="000000"/>
          <w:sz w:val="32"/>
          <w:szCs w:val="32"/>
        </w:rPr>
        <w:t>15日内支付首期租金。此后每一期租金，乙方应按照先支付后使用原则，于每年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日之前需付清下一期租金，不得延迟。甲方收到乙方租金后向乙方开具租金发票。如乙方逾期支付租金的，乙方需按照未付租金总额的日万分之三支付违约金。</w:t>
      </w:r>
    </w:p>
    <w:p w14:paraId="24BE9955">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为保证合同的履约以及对租赁场地的合理使用，乙方必须在本合同签订之日起15日内向甲方支付履约保证金人民币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00"/>
          <w:sz w:val="32"/>
          <w:szCs w:val="32"/>
          <w:lang w:val="en-US" w:eastAsia="zh-CN"/>
        </w:rPr>
        <w:t>3万元整人民币</w:t>
      </w:r>
      <w:r>
        <w:rPr>
          <w:rFonts w:hint="eastAsia" w:ascii="仿宋_GB2312" w:hAnsi="仿宋_GB2312" w:eastAsia="仿宋_GB2312" w:cs="仿宋_GB2312"/>
          <w:color w:val="000000"/>
          <w:sz w:val="32"/>
          <w:szCs w:val="32"/>
        </w:rPr>
        <w:t>）。乙方应按照本合同约定切实履行各项义务，否则，甲方可从履约保证金中优先扣除乙方未结清的费用、违约金和应承担的各项赔偿等，不足部分另行赔付。如乙方违约，甲方可罚没履约保证金。</w:t>
      </w:r>
    </w:p>
    <w:p w14:paraId="0DA42F9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履约保证金不计利息，待租期届满或双方同意提前解除本合同的，在乙方结清所有费用且无违约情形下，甲方对乙方交还的租赁场地验收合格后，将履约保证金一次性退还给乙方。</w:t>
      </w:r>
    </w:p>
    <w:p w14:paraId="2674806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乙方所有租金、履约保证金等款项均应以银行转账方式划转至甲方银行结算账户，乙方不得以现金方式交付给甲方任何人员。特殊情况由双方另行协商。甲方指定收款账户信息如下：</w:t>
      </w:r>
    </w:p>
    <w:p w14:paraId="313DE58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7C83283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2AD8C3F8">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3BB8D7A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14:paraId="4EBA9D66">
      <w:pPr>
        <w:ind w:firstLine="643" w:firstLineChars="200"/>
        <w:rPr>
          <w:rFonts w:hint="eastAsia" w:ascii="黑体" w:hAnsi="黑体" w:eastAsia="黑体" w:cs="黑体"/>
          <w:b/>
          <w:color w:val="000000"/>
          <w:sz w:val="32"/>
          <w:szCs w:val="32"/>
        </w:rPr>
      </w:pPr>
      <w:r>
        <w:rPr>
          <w:rFonts w:hint="eastAsia" w:ascii="黑体" w:hAnsi="黑体" w:eastAsia="黑体" w:cs="黑体"/>
          <w:b/>
          <w:color w:val="000000"/>
          <w:sz w:val="32"/>
          <w:szCs w:val="32"/>
        </w:rPr>
        <w:t>四、双方的权利义务</w:t>
      </w:r>
    </w:p>
    <w:p w14:paraId="715314F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14:paraId="0D51804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甲方承诺提供给乙方使用的场地无产权纠纷，如因产权纠纷所引起的责任和经济损失由甲方承担。</w:t>
      </w:r>
    </w:p>
    <w:p w14:paraId="6E75DD00">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场地。如遇特殊情况，包括但不限于因国家政策、规划或其他政府原因需要征拆本合同所涉场地土地或收回场地土地等情形的，甲方应提前一个月通知乙方，除乙方投入的装修及附属物价值补偿款外，其他所有补偿款项（包括但不限于场地土地价值补偿款、甲方投入的附属物价值补偿款、货币补偿补助、签约搬迁奖励，归甲方所有；乙方投入的装修附属物价值补偿款、一次性搬迁及临时安置费、停产停业损失费、重大设施搬迁损失费）等均归甲方所有。若遇场地土地征收补偿政策调整，按照相关新政策执行。乙方应在收到甲方通知后在拆迁征收规定期限内无条件腾空场地并交还给甲方。双方办结租赁场地移交手续后，甲方应一次性无息退还未到期的剩余租金，乙方不得以任何理由延迟腾退期限。如乙方逾期不腾退的，甲方有权采取停水、停电等措施或向人民法院提起诉讼，并由乙方承担甲方为实现债权所支出的所有费用。</w:t>
      </w:r>
    </w:p>
    <w:p w14:paraId="2DDF4002">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本合同期满前三个月，甲方有权开展重新招租工作，包括但不限于设置招租公告，在提前通知乙方的前提下为未来承租户展示租赁本场地，乙方应全力配合。</w:t>
      </w:r>
    </w:p>
    <w:p w14:paraId="51AD77B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14:paraId="701EF50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未经甲方同意，乙方不得将租用骆驼桥体育场转租或以合作、转股、承包等任何方式变相转让、转移或使承租骆驼桥体育场实际处于第三方控制，或与第三方互换场地使用。</w:t>
      </w:r>
    </w:p>
    <w:p w14:paraId="2FE88A2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乙方应爱护和正常使用租赁场地及有关附属设施设备；乙方使用承租骆驼桥体育场或其他附属设施设备不当或非甲方原因造成场地或设备设施损坏的，乙方负责赔偿或修复。</w:t>
      </w:r>
    </w:p>
    <w:p w14:paraId="191716C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乙方负责承租范围内场地、附属设施、水、电、管道等所有场地本身及其附属设施设备的日常维修，所有费用由乙方自理。</w:t>
      </w:r>
    </w:p>
    <w:p w14:paraId="58D712A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除甲方负责对租赁骆驼桥体育场投保财产综合险外，乙方应考虑台风、潮汛、火灾等灾害，自行购买相关保险。</w:t>
      </w:r>
    </w:p>
    <w:p w14:paraId="16BE707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场地结构，不得影响场地安全，且事先须征得甲方同意并经有关部门批准，改、扩建费用由乙方自理；租赁期满，乙方改、扩建的不动产不得拆除（归甲方所有），甲方不补偿任何费用。</w:t>
      </w:r>
    </w:p>
    <w:p w14:paraId="2F2FE1C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14:paraId="53100FE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乙方承诺使用承租本场地从事的各项活动均符合国家法律法规，并独立承担全部责任。</w:t>
      </w:r>
    </w:p>
    <w:p w14:paraId="41C3A42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根据生产经营需要，应当按照法律法规规定办理相关审批手续，包括但不限于环评、安评、消防等。若乙方未及时办理，乙方承担全部责任及由此造成的一切损失，包括但不限于对甲方及相关第三方造成的损失。</w:t>
      </w:r>
    </w:p>
    <w:p w14:paraId="4C2AD14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 xml:space="preserve"> 在租赁期间，乙方在生产经营过程中，应注意对环境的影响，因环境污染给甲方或任何第三人造成侵害，均由乙方承担责任，甲方有权据此解除本合同。在本合同解除时，对于租赁场地及周边区域造成的环境侵害，乙方须赔偿由此造成的损失。乙方应确保其使用租赁场地所进行的生产项目符合有关环保要求，并应采取有效措施，减少和降低其生产过程中产生的水、气、尘、噪声、腐蚀、辐射等污染。</w:t>
      </w:r>
    </w:p>
    <w:p w14:paraId="1437440D">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 如乙方提前终止租赁合同，则按下列项（A）执行：</w:t>
      </w:r>
    </w:p>
    <w:p w14:paraId="531B2A3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A</w:t>
      </w:r>
      <w:r>
        <w:rPr>
          <w:rFonts w:hint="eastAsia" w:ascii="仿宋_GB2312" w:hAnsi="仿宋_GB2312" w:eastAsia="仿宋_GB2312" w:cs="仿宋_GB2312"/>
          <w:color w:val="000000"/>
          <w:sz w:val="32"/>
          <w:szCs w:val="32"/>
        </w:rPr>
        <w:t>）若乙方须提前终止本场地租赁合同，应提前三个月通知甲方并需取得甲方的书面同意，乙方需在甲方同意之日起三个月内搬离并完成场地清理，结清水、电、物业等相关费用，待甲方对收回场地验收合格后，本合同自行终止，租金按实际使用时间结清。</w:t>
      </w:r>
    </w:p>
    <w:p w14:paraId="0A0F86A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B</w:t>
      </w:r>
      <w:r>
        <w:rPr>
          <w:rFonts w:hint="eastAsia" w:ascii="仿宋_GB2312" w:hAnsi="仿宋_GB2312" w:eastAsia="仿宋_GB2312" w:cs="仿宋_GB2312"/>
          <w:color w:val="000000"/>
          <w:sz w:val="32"/>
          <w:szCs w:val="32"/>
        </w:rPr>
        <w:t>）未经甲方书面同意，乙方不得提前终止合同。如乙方单方面提前终止合同的，已经支付的租金及履约保证金不予退还，并应当支付甲方相当于三个月租金的违约金。</w:t>
      </w:r>
    </w:p>
    <w:p w14:paraId="70D54E10">
      <w:pPr>
        <w:ind w:firstLine="643" w:firstLineChars="200"/>
        <w:rPr>
          <w:rFonts w:hint="eastAsia" w:ascii="黑体" w:hAnsi="黑体" w:eastAsia="黑体" w:cs="黑体"/>
          <w:b/>
          <w:color w:val="000000"/>
          <w:sz w:val="32"/>
          <w:szCs w:val="32"/>
        </w:rPr>
      </w:pPr>
      <w:r>
        <w:rPr>
          <w:rFonts w:hint="eastAsia" w:ascii="黑体" w:hAnsi="黑体" w:eastAsia="黑体" w:cs="黑体"/>
          <w:b/>
          <w:color w:val="000000"/>
          <w:sz w:val="32"/>
          <w:szCs w:val="32"/>
        </w:rPr>
        <w:t>五、违约责任</w:t>
      </w:r>
    </w:p>
    <w:p w14:paraId="3C6FA1BE">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14:paraId="635C2A6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）乙方未经允许，擅自将出租本场地转租、转借或非法转让的；或以合作、承包、股份转让等变相方式转移出租本场地使用权给他人或与他人共同使用的；</w:t>
      </w:r>
    </w:p>
    <w:p w14:paraId="53E6B63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）乙方在出租本场地内进行非法活动或损害公共利益的；</w:t>
      </w:r>
    </w:p>
    <w:p w14:paraId="1FD7C55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）乙方恶意破坏出租场地主体结构，或未经允许擅自对场地主体结构作重大改变的；</w:t>
      </w:r>
    </w:p>
    <w:p w14:paraId="0896F2E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）乙方非法在出租场地上设置抵押、担保等他项权利的；</w:t>
      </w:r>
    </w:p>
    <w:p w14:paraId="02A7BE43">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）乙方主体注销或以转股、变卖等方式更换投资主体或乙方破产、清算、被法院、行政机关依法查封出租场地内资产或对其法定代表人或主要经营活动的负责人采取强制措施的；</w:t>
      </w:r>
    </w:p>
    <w:p w14:paraId="2FDF901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14:paraId="5484EBC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）未经甲方同意，乙方擅自改变场地租赁用途的</w:t>
      </w:r>
      <w:r>
        <w:rPr>
          <w:rFonts w:ascii="仿宋_GB2312" w:hAnsi="仿宋_GB2312" w:eastAsia="仿宋_GB2312" w:cs="仿宋_GB2312"/>
          <w:color w:val="000000"/>
          <w:sz w:val="32"/>
          <w:szCs w:val="32"/>
        </w:rPr>
        <w:t>;</w:t>
      </w:r>
    </w:p>
    <w:p w14:paraId="231C4174">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14:paraId="465CE80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14:paraId="5CBFC51E">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14:paraId="4118BEA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租赁期满或提前解除本合同的，乙方必须按时搬出全部物件。如仍有余物，视作无主物，由甲方处理，如因此发生的费用由乙方承担。如乙方逾期不腾退，需按照日租金的三倍向甲方支付场地占用费。</w:t>
      </w:r>
    </w:p>
    <w:p w14:paraId="2940E212">
      <w:pPr>
        <w:ind w:firstLine="643" w:firstLineChars="200"/>
        <w:rPr>
          <w:rFonts w:hint="eastAsia" w:ascii="黑体" w:hAnsi="黑体" w:eastAsia="黑体" w:cs="黑体"/>
          <w:b/>
          <w:color w:val="000000"/>
          <w:sz w:val="32"/>
          <w:szCs w:val="32"/>
        </w:rPr>
      </w:pPr>
      <w:r>
        <w:rPr>
          <w:rFonts w:hint="eastAsia" w:ascii="黑体" w:hAnsi="黑体" w:eastAsia="黑体" w:cs="黑体"/>
          <w:b/>
          <w:color w:val="000000"/>
          <w:sz w:val="32"/>
          <w:szCs w:val="32"/>
        </w:rPr>
        <w:t>六、特别约定事项</w:t>
      </w:r>
    </w:p>
    <w:p w14:paraId="12DCCA32">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 租赁期限届满，合同自然终止，甲方有权收回场地土地，乙方应如期归还。场地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7AB9A23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2.水电费用。场地户头全部过户至甲方名下，门球场、地掷球两处水电费可向相关协会收取费用。</w:t>
      </w:r>
    </w:p>
    <w:p w14:paraId="57DF9793">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3.综合管理服务。乙方负责骆驼桥体育场区域内公共秩序维护、设备设施管理、卫生保洁及甲方交办的其他物业服务项目。</w:t>
      </w:r>
    </w:p>
    <w:p w14:paraId="2B9E5BA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服务范围：宁波市镇海区骆驼街道北端绕城高速桥下，慈海北路至西大河段范围，东西长约530米，桥下投影宽度约34米，场地东至西大河，南至河道边，西至太极拳场与驾校边界，北至步道边，总涉及面积达26145平方米，包括6片门球场、2片篮球场、2片足球场、2片综合健身场地、3跨范围停车场、</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跨地掷球场、1跨太极拳场、2座公厕、1处监控室及一条长约860米的健身步道（东至西大河，西至329国道）等场地及设施(见附件二)。</w:t>
      </w:r>
    </w:p>
    <w:p w14:paraId="2779A6A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过甲方考核，考核分在90分（不含）以上的返还年度租金的90%，考核分在80分（不含）以上、90分（含）以下的返还年度租金的80%，考核分80分（含）以下的返还年度租金的60，考核分60分（含）以下或由于管理不力对市民群众的身心造成较大影响而引起举报、新闻曝光等次数一年内超过2次的，不予以返还当年租金，且甲方有权单方面解除合同。具体考核规则以委托人（出租人）出具的（租赁合同）条款为准（详见附表一）。</w:t>
      </w:r>
    </w:p>
    <w:p w14:paraId="6CB7C6AF">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安全事项。乙方负责管理范围内的消防、用电和交通等安全责任，运营单位对桥梁的桩墩、板进行有效保护，避免其遭受桥下空间的车辆、人员等的直接撞击和破坏；确保桥下空间内严禁堆放易燃、易爆等物品，避免对桥梁安全和高速公路安全畅通产生影响。处理分管区域内的投诉及信访问题，街道配合相关工作。</w:t>
      </w:r>
    </w:p>
    <w:p w14:paraId="20B37270">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5.乙方不得增加、改造相关建筑、构筑物及改变相关功能，若需改造需征得街道及宁波绕城东段高速公路有限公司同意。</w:t>
      </w:r>
    </w:p>
    <w:p w14:paraId="57DC12CC">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6.维保事项。保修期内相关维修问题由施工单位负责。保修期结束后，由乙方负责相关设施设备维护。后期存在主体结构及重大设施设备维修问题，双方再行协商。</w:t>
      </w:r>
    </w:p>
    <w:p w14:paraId="085D017D">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7.公益活动配合。甲方如需举办公益性活动，乙方需协助配合，全年无偿使用不少于10次；公益教学指导不少于100小时。</w:t>
      </w:r>
    </w:p>
    <w:p w14:paraId="6D878600">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门球、地掷球场管理。该区域围挡范围内由甲方委托相关协会或组织自主管理为主，但需统一按公园开放时间免费让市民使用，乙方与协会、组织共同做好场地日常管理工作（场地外围保洁、场地开放关闭、场地按规使用等事宜），其中场地内部保洁由协会、组织自行负责。</w:t>
      </w:r>
    </w:p>
    <w:p w14:paraId="749134D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9.赛事引进。为营造良好的体育氛围，本场地移交乙方后，每年需引进区级赛事3场，市级赛事2场，省级赛事1场。</w:t>
      </w:r>
    </w:p>
    <w:p w14:paraId="3555B92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 xml:space="preserve">                                              </w:t>
      </w:r>
    </w:p>
    <w:p w14:paraId="78F81E67">
      <w:pPr>
        <w:ind w:firstLine="643" w:firstLineChars="200"/>
        <w:rPr>
          <w:rFonts w:hint="eastAsia" w:ascii="黑体" w:hAnsi="黑体" w:eastAsia="黑体" w:cs="黑体"/>
          <w:b/>
          <w:color w:val="000000"/>
          <w:sz w:val="32"/>
          <w:szCs w:val="32"/>
        </w:rPr>
      </w:pPr>
      <w:r>
        <w:rPr>
          <w:rFonts w:hint="eastAsia" w:ascii="黑体" w:hAnsi="黑体" w:eastAsia="黑体" w:cs="黑体"/>
          <w:b/>
          <w:color w:val="000000"/>
          <w:sz w:val="32"/>
          <w:szCs w:val="32"/>
        </w:rPr>
        <w:t>七、其他</w:t>
      </w:r>
    </w:p>
    <w:p w14:paraId="192A323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14:paraId="637E9CB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14:paraId="22E6C1D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14:paraId="1AAE8CA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14:paraId="361F14B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14:paraId="13D67E9B">
      <w:pPr>
        <w:ind w:firstLine="640" w:firstLineChars="200"/>
        <w:rPr>
          <w:rFonts w:hint="eastAsia" w:ascii="仿宋_GB2312" w:hAnsi="仿宋_GB2312" w:eastAsia="仿宋_GB2312" w:cs="仿宋_GB2312"/>
          <w:color w:val="000000"/>
          <w:sz w:val="32"/>
          <w:szCs w:val="32"/>
        </w:rPr>
      </w:pPr>
    </w:p>
    <w:p w14:paraId="148680D7">
      <w:pPr>
        <w:ind w:firstLine="640" w:firstLineChars="200"/>
        <w:rPr>
          <w:rFonts w:hint="eastAsia" w:ascii="仿宋_GB2312" w:hAnsi="仿宋_GB2312" w:eastAsia="仿宋_GB2312" w:cs="仿宋_GB2312"/>
          <w:color w:val="000000"/>
          <w:sz w:val="32"/>
          <w:szCs w:val="32"/>
        </w:rPr>
      </w:pPr>
    </w:p>
    <w:p w14:paraId="1E42EB38">
      <w:pPr>
        <w:ind w:firstLine="640" w:firstLineChars="200"/>
        <w:rPr>
          <w:rFonts w:hint="eastAsia" w:ascii="仿宋_GB2312" w:hAnsi="仿宋_GB2312" w:eastAsia="仿宋_GB2312" w:cs="仿宋_GB2312"/>
          <w:color w:val="000000"/>
          <w:sz w:val="32"/>
          <w:szCs w:val="32"/>
        </w:rPr>
      </w:pPr>
    </w:p>
    <w:p w14:paraId="6D8B9D2B">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14:paraId="63249D83">
      <w:pPr>
        <w:rPr>
          <w:rFonts w:hint="eastAsia" w:ascii="仿宋_GB2312" w:hAnsi="仿宋_GB2312" w:eastAsia="仿宋_GB2312" w:cs="仿宋_GB2312"/>
          <w:color w:val="000000"/>
          <w:sz w:val="32"/>
          <w:szCs w:val="32"/>
        </w:rPr>
      </w:pPr>
    </w:p>
    <w:p w14:paraId="4742838B">
      <w:pPr>
        <w:adjustRightInd w:val="0"/>
        <w:snapToGrid w:val="0"/>
        <w:spacing w:before="100" w:beforeAutospacing="1" w:after="100" w:afterAutospacing="1" w:line="360" w:lineRule="auto"/>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甲</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方</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（盖章）：</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方（盖章）：</w:t>
      </w:r>
    </w:p>
    <w:p w14:paraId="2D3ECF39">
      <w:pPr>
        <w:adjustRightInd w:val="0"/>
        <w:snapToGrid w:val="0"/>
        <w:spacing w:before="100" w:beforeAutospacing="1" w:after="100" w:afterAutospacing="1" w:line="360" w:lineRule="auto"/>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sz w:val="32"/>
          <w:szCs w:val="32"/>
        </w:rPr>
        <w:t>法定代表人</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法定代表人</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rPr>
        <w:t xml:space="preserve">     </w:t>
      </w:r>
    </w:p>
    <w:p w14:paraId="4F3DB0C5">
      <w:pPr>
        <w:adjustRightInd w:val="0"/>
        <w:snapToGrid w:val="0"/>
        <w:spacing w:before="100" w:beforeAutospacing="1" w:after="100" w:afterAutospacing="1" w:line="360" w:lineRule="auto"/>
        <w:jc w:val="left"/>
        <w:rPr>
          <w:rFonts w:ascii="仿宋_GB2312" w:hAnsi="仿宋_GB2312" w:eastAsia="仿宋_GB2312" w:cs="仿宋_GB2312"/>
          <w:color w:val="000000"/>
          <w:kern w:val="0"/>
          <w:sz w:val="28"/>
          <w:szCs w:val="28"/>
          <w:lang w:val="zh-CN"/>
        </w:rPr>
      </w:pPr>
      <w:r>
        <w:rPr>
          <w:rFonts w:hint="eastAsia" w:ascii="仿宋_GB2312" w:hAnsi="仿宋_GB2312" w:eastAsia="仿宋_GB2312" w:cs="仿宋_GB2312"/>
          <w:color w:val="000000"/>
          <w:sz w:val="32"/>
          <w:szCs w:val="32"/>
        </w:rPr>
        <w:t>或授权委托人（签章）：</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lang w:val="zh-CN"/>
        </w:rPr>
        <w:t xml:space="preserve">         </w:t>
      </w:r>
      <w:r>
        <w:rPr>
          <w:rFonts w:hint="eastAsia" w:ascii="仿宋_GB2312" w:hAnsi="仿宋_GB2312" w:eastAsia="仿宋_GB2312" w:cs="仿宋_GB2312"/>
          <w:color w:val="000000"/>
          <w:sz w:val="32"/>
          <w:szCs w:val="32"/>
        </w:rPr>
        <w:t>或授权委托人（签章）：</w:t>
      </w:r>
    </w:p>
    <w:p w14:paraId="0BB10C50">
      <w:pPr>
        <w:adjustRightInd w:val="0"/>
        <w:snapToGrid w:val="0"/>
        <w:spacing w:before="100" w:beforeAutospacing="1" w:after="100" w:afterAutospacing="1" w:line="360" w:lineRule="auto"/>
        <w:jc w:val="left"/>
        <w:rPr>
          <w:rFonts w:ascii="仿宋_GB2312" w:hAnsi="仿宋_GB2312" w:eastAsia="仿宋_GB2312" w:cs="仿宋_GB2312"/>
          <w:color w:val="000000"/>
          <w:kern w:val="0"/>
          <w:sz w:val="28"/>
          <w:szCs w:val="28"/>
          <w:lang w:val="zh-CN"/>
        </w:rPr>
      </w:pPr>
      <w:r>
        <w:rPr>
          <w:rFonts w:hint="eastAsia" w:ascii="仿宋_GB2312" w:hAnsi="仿宋_GB2312" w:eastAsia="仿宋_GB2312" w:cs="仿宋_GB2312"/>
          <w:color w:val="000000"/>
          <w:sz w:val="32"/>
          <w:szCs w:val="32"/>
        </w:rPr>
        <w:t>联系电话：</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lang w:val="zh-CN"/>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联系电话：</w:t>
      </w:r>
      <w:r>
        <w:rPr>
          <w:rFonts w:ascii="仿宋_GB2312" w:hAnsi="仿宋_GB2312" w:eastAsia="仿宋_GB2312" w:cs="仿宋_GB2312"/>
          <w:color w:val="000000"/>
          <w:kern w:val="0"/>
          <w:sz w:val="28"/>
          <w:szCs w:val="28"/>
          <w:lang w:val="zh-CN"/>
        </w:rPr>
        <w:t xml:space="preserve">                           </w:t>
      </w:r>
    </w:p>
    <w:p w14:paraId="6B31A3EF">
      <w:pPr>
        <w:spacing w:line="360" w:lineRule="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日</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lang w:val="zh-CN"/>
        </w:rPr>
        <w:t xml:space="preserve">                </w:t>
      </w:r>
      <w:r>
        <w:rPr>
          <w:rFonts w:ascii="仿宋_GB2312" w:hAnsi="仿宋_GB2312" w:eastAsia="仿宋_GB2312" w:cs="仿宋_GB2312"/>
          <w:color w:val="000000"/>
          <w:kern w:val="0"/>
          <w:sz w:val="28"/>
          <w:szCs w:val="28"/>
        </w:rPr>
        <w:t xml:space="preserve">  </w:t>
      </w:r>
      <w:r>
        <w:rPr>
          <w:rFonts w:hint="eastAsia" w:ascii="仿宋_GB2312" w:hAnsi="仿宋_GB2312" w:eastAsia="仿宋_GB2312" w:cs="仿宋_GB2312"/>
          <w:color w:val="000000"/>
          <w:kern w:val="0"/>
          <w:sz w:val="28"/>
          <w:szCs w:val="28"/>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日</w:t>
      </w:r>
    </w:p>
    <w:p w14:paraId="63935CFD">
      <w:pPr>
        <w:rPr>
          <w:rFonts w:ascii="仿宋_GB2312" w:hAnsi="仿宋_GB2312" w:eastAsia="仿宋_GB2312" w:cs="仿宋_GB2312"/>
          <w:color w:val="000000"/>
          <w:sz w:val="32"/>
          <w:szCs w:val="32"/>
        </w:rPr>
      </w:pPr>
    </w:p>
    <w:p w14:paraId="4A8BB01F">
      <w:pPr>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租赁安全管理协议</w:t>
      </w:r>
    </w:p>
    <w:p w14:paraId="060D06CA">
      <w:pPr>
        <w:ind w:firstLine="640" w:firstLineChars="200"/>
        <w:rPr>
          <w:rFonts w:ascii="仿宋_GB2312" w:hAnsi="仿宋_GB2312" w:eastAsia="仿宋_GB2312" w:cs="仿宋_GB2312"/>
          <w:color w:val="000000"/>
          <w:sz w:val="32"/>
          <w:szCs w:val="32"/>
        </w:rPr>
      </w:pPr>
    </w:p>
    <w:p w14:paraId="7AFF92C0">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05AD9AD2">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14:paraId="317E7778">
      <w:pPr>
        <w:ind w:firstLine="640" w:firstLineChars="200"/>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规定，为进一步加强国有资产安全管理，保障人民群众生命和财产安全，在双方签订《场地租赁合同》的基础上，就加强安全管理，落实安全责任，达成以下意见，并签订本协议：</w:t>
      </w:r>
    </w:p>
    <w:p w14:paraId="6AC5FC7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 甲方将位于宁波市镇海区骆驼街道北端绕城高速桥下，慈海北路至西大河段范围， 2片篮球场、2片足球场、</w:t>
      </w:r>
      <w:r>
        <w:rPr>
          <w:rFonts w:ascii="仿宋_GB2312" w:hAnsi="仿宋_GB2312" w:eastAsia="仿宋_GB2312" w:cs="仿宋_GB2312"/>
          <w:color w:val="000000"/>
          <w:sz w:val="32"/>
          <w:szCs w:val="32"/>
        </w:rPr>
        <w:t>1片轮滑场、1片滑板场总计面积为4543.22平方的</w:t>
      </w:r>
      <w:r>
        <w:rPr>
          <w:rFonts w:hint="eastAsia" w:ascii="仿宋_GB2312" w:hAnsi="仿宋_GB2312" w:eastAsia="仿宋_GB2312" w:cs="仿宋_GB2312"/>
          <w:color w:val="000000"/>
          <w:sz w:val="32"/>
          <w:szCs w:val="32"/>
        </w:rPr>
        <w:t>场地及设施出租给乙方。</w:t>
      </w:r>
    </w:p>
    <w:p w14:paraId="10ADA461">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25BBEB27">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三、乙方在租赁期间的安全责任</w:t>
      </w:r>
    </w:p>
    <w:p w14:paraId="5C331367">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乙方在租用期间，是此骆驼桥体育场消防、治安的第一责任人，并承担相应的消防、治安责任。自行负责场地的一切消防安全工作，要切实加强安全管理，合法经营，不得从事非法经营或其他违法活动。</w:t>
      </w:r>
    </w:p>
    <w:p w14:paraId="0D5BC8B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负责建立健全承租场地的消防安全制度和措施，制定消防安全岗位责任制，落实承租区域的消防安全责任。建立日常安全工作台账，每月组织一次全面安全自我检查；同时应当对从业人员进行安全生产教育和培训，保证从业人员具备必要的安全生产知识，熟悉有关的安全生产规章制度和安全操作规程，掌握本岗位的安全操作技能。</w:t>
      </w:r>
    </w:p>
    <w:p w14:paraId="5C1699A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乙方承租的场地用于生产经营的，乙方必须符合市场监督管理部门对生产经营范围内的管理要求，合法经营。并严格遵守安全生产经营的规定，自行办理从业人员人身及财产的保险。</w:t>
      </w:r>
    </w:p>
    <w:p w14:paraId="7E91D95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对承租区域内的安全生产经营全面负责，对发现事故隐患或不安全因素应立即整改；对发生事故所造成自身损失的，由乙方自行承担责任。如非因甲方原因导致事故造成甲方或第三方损失的，由乙方承担责任并负责赔偿损失。</w:t>
      </w:r>
    </w:p>
    <w:p w14:paraId="663D7461">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乙方如在承租场地内从事非法生产、加工、储存，经营爆炸性、毒害性、放射性、腐蚀性物质或传染病原体等危险物质，对周边环境造成损害或损坏的，由乙方承担全部责任并赔偿损失。</w:t>
      </w:r>
    </w:p>
    <w:p w14:paraId="1370E77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在租赁期间的安全管理责任全部由乙方承担，如发生火灾、偷盗、伤亡等事故由乙方自行负责；如由于非甲方原因造成的搁置物悬挂物脱落、高空坠物造成伤亡等相关事故的由乙方自行承担，甲方不承担任何费用和责任。</w:t>
      </w:r>
    </w:p>
    <w:p w14:paraId="4A59982B">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乙方不得擅自改动场地内外的水、电、气及消防管线等，如确需要改动的，必须以书面形式报甲方和有关部门批复同意后方可实施，如未报自行改动所带来的后果由乙方承担。</w:t>
      </w:r>
    </w:p>
    <w:p w14:paraId="73DBD2B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不得对承租场地主体结构任意改造和对周边违规扩建，如确需要改造和扩建，必须以书面形式报甲方和相关部门批复同意方可实施，如未报自行改造、扩建的，乙方必须负全部责任，并恢复原样，所造成的经济损失由乙方承担。</w:t>
      </w:r>
    </w:p>
    <w:p w14:paraId="2BCEDFAA">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乙方应按消防部门有关规定全面负责租赁场地内的防火安全，配置必要的消防设施设备和器材，设置消防安全标识，并定期组织检验、维修，确保设施设备和器材完好有效。严禁将消防设施用作其它用途。如由于非甲方原因造成相关事故的，由乙方自行承担责任并赔偿损失。</w:t>
      </w:r>
    </w:p>
    <w:p w14:paraId="1AFEF20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0</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严禁乙方在租赁骆驼桥体育场车间或仓库内设置员工宿舍。乙方不得占用和堵塞消防通道和安全出口，确保消防通道、安全出口畅通。</w:t>
      </w:r>
    </w:p>
    <w:p w14:paraId="4C3AFEE6">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1</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乙方应遵守法律规定应尽的其他安全生产及消防安全职责。</w:t>
      </w:r>
    </w:p>
    <w:p w14:paraId="41DF0060">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2</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甲方或甲方委托的第三方机构对乙方进行安全生产及消防安全的检查工作，乙方必须自觉配合，并服从督促及整改。</w:t>
      </w:r>
    </w:p>
    <w:p w14:paraId="337C23AD">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14:paraId="749B189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14:paraId="172B282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本协议须与《场地租赁合同》同时签订，有同等法律效力。</w:t>
      </w:r>
    </w:p>
    <w:p w14:paraId="5BF215B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14:paraId="10532F98">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14:paraId="3C3EAD1A">
      <w:pPr>
        <w:rPr>
          <w:rFonts w:hint="eastAsia" w:ascii="仿宋_GB2312" w:hAnsi="仿宋_GB2312" w:eastAsia="仿宋_GB2312" w:cs="仿宋_GB2312"/>
          <w:color w:val="000000"/>
          <w:sz w:val="32"/>
          <w:szCs w:val="32"/>
        </w:rPr>
      </w:pPr>
    </w:p>
    <w:p w14:paraId="6294F871">
      <w:pPr>
        <w:rPr>
          <w:rFonts w:hint="eastAsia" w:ascii="仿宋_GB2312" w:hAnsi="仿宋_GB2312" w:eastAsia="仿宋_GB2312" w:cs="仿宋_GB2312"/>
          <w:color w:val="000000"/>
          <w:sz w:val="32"/>
          <w:szCs w:val="32"/>
        </w:rPr>
      </w:pPr>
    </w:p>
    <w:p w14:paraId="7B4BEAC4">
      <w:pPr>
        <w:adjustRightInd w:val="0"/>
        <w:snapToGrid w:val="0"/>
        <w:spacing w:before="100" w:beforeAutospacing="1" w:after="100" w:afterAutospacing="1" w:line="360" w:lineRule="auto"/>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甲</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方</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（盖章）：</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方（盖章）：</w:t>
      </w:r>
    </w:p>
    <w:p w14:paraId="4644581C">
      <w:pPr>
        <w:adjustRightInd w:val="0"/>
        <w:snapToGrid w:val="0"/>
        <w:spacing w:before="100" w:beforeAutospacing="1" w:after="100" w:afterAutospacing="1" w:line="360" w:lineRule="auto"/>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sz w:val="32"/>
          <w:szCs w:val="32"/>
        </w:rPr>
        <w:t>法定代表人</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法定代表人</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rPr>
        <w:t xml:space="preserve">     </w:t>
      </w:r>
    </w:p>
    <w:p w14:paraId="3E3603BA">
      <w:pPr>
        <w:adjustRightInd w:val="0"/>
        <w:snapToGrid w:val="0"/>
        <w:spacing w:before="100" w:beforeAutospacing="1" w:after="100" w:afterAutospacing="1" w:line="360" w:lineRule="auto"/>
        <w:jc w:val="left"/>
        <w:rPr>
          <w:rFonts w:ascii="仿宋_GB2312" w:hAnsi="仿宋_GB2312" w:eastAsia="仿宋_GB2312" w:cs="仿宋_GB2312"/>
          <w:color w:val="000000"/>
          <w:kern w:val="0"/>
          <w:sz w:val="28"/>
          <w:szCs w:val="28"/>
          <w:lang w:val="zh-CN"/>
        </w:rPr>
      </w:pPr>
      <w:r>
        <w:rPr>
          <w:rFonts w:hint="eastAsia" w:ascii="仿宋_GB2312" w:hAnsi="仿宋_GB2312" w:eastAsia="仿宋_GB2312" w:cs="仿宋_GB2312"/>
          <w:color w:val="000000"/>
          <w:sz w:val="32"/>
          <w:szCs w:val="32"/>
        </w:rPr>
        <w:t>或授权委托人（签章）：</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lang w:val="zh-CN"/>
        </w:rPr>
        <w:t xml:space="preserve">         </w:t>
      </w:r>
      <w:r>
        <w:rPr>
          <w:rFonts w:hint="eastAsia" w:ascii="仿宋_GB2312" w:hAnsi="仿宋_GB2312" w:eastAsia="仿宋_GB2312" w:cs="仿宋_GB2312"/>
          <w:color w:val="000000"/>
          <w:sz w:val="32"/>
          <w:szCs w:val="32"/>
        </w:rPr>
        <w:t>或授权委托人（签章）：</w:t>
      </w:r>
    </w:p>
    <w:p w14:paraId="33225BA3">
      <w:pPr>
        <w:adjustRightInd w:val="0"/>
        <w:snapToGrid w:val="0"/>
        <w:spacing w:before="100" w:beforeAutospacing="1" w:after="100" w:afterAutospacing="1" w:line="360" w:lineRule="auto"/>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lang w:val="zh-CN"/>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联系电话：</w:t>
      </w:r>
      <w:r>
        <w:rPr>
          <w:rFonts w:ascii="仿宋_GB2312" w:hAnsi="仿宋_GB2312" w:eastAsia="仿宋_GB2312" w:cs="仿宋_GB2312"/>
          <w:color w:val="000000"/>
          <w:kern w:val="0"/>
          <w:sz w:val="28"/>
          <w:szCs w:val="28"/>
          <w:lang w:val="zh-CN"/>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日</w:t>
      </w:r>
      <w:r>
        <w:rPr>
          <w:rFonts w:ascii="仿宋_GB2312" w:hAnsi="仿宋_GB2312" w:eastAsia="仿宋_GB2312" w:cs="仿宋_GB2312"/>
          <w:color w:val="000000"/>
          <w:sz w:val="32"/>
          <w:szCs w:val="32"/>
        </w:rPr>
        <w:t xml:space="preserve">   </w:t>
      </w:r>
      <w:r>
        <w:rPr>
          <w:rFonts w:ascii="仿宋_GB2312" w:hAnsi="仿宋_GB2312" w:eastAsia="仿宋_GB2312" w:cs="仿宋_GB2312"/>
          <w:color w:val="000000"/>
          <w:kern w:val="0"/>
          <w:sz w:val="28"/>
          <w:szCs w:val="28"/>
          <w:lang w:val="zh-CN"/>
        </w:rPr>
        <w:t xml:space="preserve">                </w:t>
      </w:r>
      <w:r>
        <w:rPr>
          <w:rFonts w:ascii="仿宋_GB2312" w:hAnsi="仿宋_GB2312" w:eastAsia="仿宋_GB2312" w:cs="仿宋_GB2312"/>
          <w:color w:val="000000"/>
          <w:kern w:val="0"/>
          <w:sz w:val="28"/>
          <w:szCs w:val="28"/>
        </w:rPr>
        <w:t xml:space="preserve">  </w:t>
      </w:r>
      <w:r>
        <w:rPr>
          <w:rFonts w:hint="eastAsia" w:ascii="仿宋_GB2312" w:hAnsi="仿宋_GB2312" w:eastAsia="仿宋_GB2312" w:cs="仿宋_GB2312"/>
          <w:color w:val="000000"/>
          <w:kern w:val="0"/>
          <w:sz w:val="28"/>
          <w:szCs w:val="28"/>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日</w:t>
      </w:r>
    </w:p>
    <w:p w14:paraId="22DBEA09">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7943A7B6">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53E8309B">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5AA74FEC">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6CF18E33">
      <w:pPr>
        <w:pStyle w:val="3"/>
        <w:spacing w:line="520" w:lineRule="exact"/>
        <w:ind w:left="0" w:leftChars="0"/>
        <w:rPr>
          <w:rFonts w:hint="eastAsia" w:ascii="华文楷体" w:hAnsi="华文楷体" w:eastAsia="华文楷体" w:cs="宋体"/>
          <w:b/>
          <w:bCs/>
          <w:color w:val="000000"/>
        </w:rPr>
      </w:pPr>
    </w:p>
    <w:p w14:paraId="0A7541E2">
      <w:pPr>
        <w:pStyle w:val="3"/>
        <w:spacing w:line="520" w:lineRule="exact"/>
        <w:ind w:left="0" w:leftChars="0"/>
        <w:rPr>
          <w:rFonts w:hint="eastAsia" w:ascii="华文楷体" w:hAnsi="华文楷体" w:eastAsia="华文楷体" w:cs="宋体"/>
          <w:b/>
          <w:bCs/>
          <w:color w:val="000000"/>
        </w:rPr>
      </w:pPr>
    </w:p>
    <w:p w14:paraId="74157BEF">
      <w:pPr>
        <w:pStyle w:val="3"/>
        <w:spacing w:line="520" w:lineRule="exact"/>
        <w:ind w:left="0" w:leftChars="0"/>
        <w:rPr>
          <w:rFonts w:hint="eastAsia" w:ascii="华文楷体" w:hAnsi="华文楷体" w:eastAsia="华文楷体" w:cs="宋体"/>
          <w:b/>
          <w:bCs/>
          <w:color w:val="000000"/>
        </w:rPr>
      </w:pPr>
    </w:p>
    <w:p w14:paraId="292048A6">
      <w:pPr>
        <w:pStyle w:val="3"/>
        <w:spacing w:line="520" w:lineRule="exact"/>
        <w:ind w:left="0" w:leftChars="0"/>
        <w:rPr>
          <w:rFonts w:ascii="华文楷体" w:hAnsi="华文楷体" w:eastAsia="华文楷体" w:cs="宋体"/>
          <w:b/>
        </w:rPr>
      </w:pPr>
      <w:r>
        <w:rPr>
          <w:rFonts w:hint="eastAsia" w:ascii="华文楷体" w:hAnsi="华文楷体" w:eastAsia="华文楷体" w:cs="宋体"/>
          <w:b/>
          <w:bCs/>
          <w:color w:val="000000"/>
        </w:rPr>
        <w:t>附件</w:t>
      </w:r>
      <w:r>
        <w:rPr>
          <w:rFonts w:ascii="华文楷体" w:hAnsi="华文楷体" w:eastAsia="华文楷体" w:cs="宋体"/>
          <w:b/>
          <w:bCs/>
          <w:color w:val="000000"/>
        </w:rPr>
        <w:t>一</w:t>
      </w:r>
      <w:r>
        <w:rPr>
          <w:rFonts w:hint="eastAsia" w:ascii="华文楷体" w:hAnsi="华文楷体" w:eastAsia="华文楷体" w:cs="宋体"/>
          <w:b/>
        </w:rPr>
        <w:t>《骆驼桥体育场综合管理服务项目考核细则》</w:t>
      </w:r>
    </w:p>
    <w:tbl>
      <w:tblPr>
        <w:tblStyle w:val="8"/>
        <w:tblW w:w="0" w:type="auto"/>
        <w:tblInd w:w="0" w:type="dxa"/>
        <w:tblLayout w:type="fixed"/>
        <w:tblCellMar>
          <w:top w:w="0" w:type="dxa"/>
          <w:left w:w="108" w:type="dxa"/>
          <w:bottom w:w="0" w:type="dxa"/>
          <w:right w:w="108" w:type="dxa"/>
        </w:tblCellMar>
      </w:tblPr>
      <w:tblGrid>
        <w:gridCol w:w="675"/>
        <w:gridCol w:w="709"/>
        <w:gridCol w:w="5970"/>
        <w:gridCol w:w="924"/>
        <w:gridCol w:w="900"/>
      </w:tblGrid>
      <w:tr w14:paraId="5E3B9482">
        <w:tblPrEx>
          <w:tblCellMar>
            <w:top w:w="0" w:type="dxa"/>
            <w:left w:w="108" w:type="dxa"/>
            <w:bottom w:w="0" w:type="dxa"/>
            <w:right w:w="108" w:type="dxa"/>
          </w:tblCellMar>
        </w:tblPrEx>
        <w:trPr>
          <w:trHeight w:val="615" w:hRule="atLeast"/>
        </w:trPr>
        <w:tc>
          <w:tcPr>
            <w:tcW w:w="675" w:type="dxa"/>
            <w:tcBorders>
              <w:top w:val="single" w:color="auto" w:sz="4" w:space="0"/>
              <w:left w:val="single" w:color="auto" w:sz="4" w:space="0"/>
              <w:bottom w:val="nil"/>
              <w:right w:val="single" w:color="auto" w:sz="4" w:space="0"/>
            </w:tcBorders>
            <w:noWrap w:val="0"/>
            <w:vAlign w:val="center"/>
          </w:tcPr>
          <w:p w14:paraId="003AD112">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 xml:space="preserve">项目 </w:t>
            </w:r>
          </w:p>
        </w:tc>
        <w:tc>
          <w:tcPr>
            <w:tcW w:w="709" w:type="dxa"/>
            <w:tcBorders>
              <w:top w:val="single" w:color="auto" w:sz="4" w:space="0"/>
              <w:left w:val="nil"/>
              <w:bottom w:val="nil"/>
              <w:right w:val="single" w:color="auto" w:sz="4" w:space="0"/>
            </w:tcBorders>
            <w:noWrap w:val="0"/>
            <w:vAlign w:val="center"/>
          </w:tcPr>
          <w:p w14:paraId="07D52734">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工作</w:t>
            </w:r>
          </w:p>
          <w:p w14:paraId="2D5D6B84">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内容</w:t>
            </w:r>
          </w:p>
        </w:tc>
        <w:tc>
          <w:tcPr>
            <w:tcW w:w="5970" w:type="dxa"/>
            <w:tcBorders>
              <w:top w:val="single" w:color="auto" w:sz="4" w:space="0"/>
              <w:left w:val="nil"/>
              <w:bottom w:val="nil"/>
              <w:right w:val="single" w:color="auto" w:sz="4" w:space="0"/>
            </w:tcBorders>
            <w:noWrap w:val="0"/>
            <w:vAlign w:val="center"/>
          </w:tcPr>
          <w:p w14:paraId="4C045BBF">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考核标准要求</w:t>
            </w:r>
          </w:p>
        </w:tc>
        <w:tc>
          <w:tcPr>
            <w:tcW w:w="924" w:type="dxa"/>
            <w:tcBorders>
              <w:top w:val="single" w:color="auto" w:sz="4" w:space="0"/>
              <w:left w:val="nil"/>
              <w:bottom w:val="nil"/>
              <w:right w:val="single" w:color="auto" w:sz="4" w:space="0"/>
            </w:tcBorders>
            <w:noWrap w:val="0"/>
            <w:vAlign w:val="center"/>
          </w:tcPr>
          <w:p w14:paraId="18E222A5">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标准分</w:t>
            </w:r>
          </w:p>
        </w:tc>
        <w:tc>
          <w:tcPr>
            <w:tcW w:w="900" w:type="dxa"/>
            <w:tcBorders>
              <w:top w:val="single" w:color="auto" w:sz="4" w:space="0"/>
              <w:left w:val="nil"/>
              <w:bottom w:val="nil"/>
              <w:right w:val="single" w:color="auto" w:sz="4" w:space="0"/>
            </w:tcBorders>
            <w:noWrap w:val="0"/>
            <w:vAlign w:val="center"/>
          </w:tcPr>
          <w:p w14:paraId="0487C260">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考核分</w:t>
            </w:r>
          </w:p>
        </w:tc>
      </w:tr>
      <w:tr w14:paraId="68729552">
        <w:tblPrEx>
          <w:tblCellMar>
            <w:top w:w="0" w:type="dxa"/>
            <w:left w:w="108" w:type="dxa"/>
            <w:bottom w:w="0" w:type="dxa"/>
            <w:right w:w="108" w:type="dxa"/>
          </w:tblCellMar>
        </w:tblPrEx>
        <w:trPr>
          <w:trHeight w:val="889" w:hRule="atLeast"/>
        </w:trPr>
        <w:tc>
          <w:tcPr>
            <w:tcW w:w="675" w:type="dxa"/>
            <w:vMerge w:val="restart"/>
            <w:tcBorders>
              <w:top w:val="single" w:color="auto" w:sz="4" w:space="0"/>
              <w:left w:val="single" w:color="auto" w:sz="4" w:space="0"/>
              <w:bottom w:val="single" w:color="000000" w:sz="4" w:space="0"/>
              <w:right w:val="single" w:color="auto" w:sz="4" w:space="0"/>
            </w:tcBorders>
            <w:noWrap w:val="0"/>
            <w:textDirection w:val="tbRlV"/>
            <w:vAlign w:val="center"/>
          </w:tcPr>
          <w:p w14:paraId="5D9C578A">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安保服务（35分）</w:t>
            </w:r>
          </w:p>
        </w:tc>
        <w:tc>
          <w:tcPr>
            <w:tcW w:w="709"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14:paraId="3109C086">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巡逻岗管理（15分）</w:t>
            </w:r>
          </w:p>
        </w:tc>
        <w:tc>
          <w:tcPr>
            <w:tcW w:w="5970" w:type="dxa"/>
            <w:tcBorders>
              <w:top w:val="single" w:color="auto" w:sz="4" w:space="0"/>
              <w:left w:val="nil"/>
              <w:bottom w:val="single" w:color="auto" w:sz="4" w:space="0"/>
              <w:right w:val="single" w:color="auto" w:sz="4" w:space="0"/>
            </w:tcBorders>
            <w:noWrap w:val="0"/>
            <w:vAlign w:val="center"/>
          </w:tcPr>
          <w:p w14:paraId="73B4275F">
            <w:pPr>
              <w:spacing w:line="360" w:lineRule="exact"/>
              <w:rPr>
                <w:rFonts w:ascii="华文楷体" w:hAnsi="华文楷体" w:eastAsia="华文楷体" w:cs="宋体"/>
                <w:color w:val="000000"/>
              </w:rPr>
            </w:pPr>
            <w:r>
              <w:rPr>
                <w:rFonts w:hint="eastAsia" w:ascii="华文楷体" w:hAnsi="华文楷体" w:eastAsia="华文楷体" w:cs="宋体"/>
                <w:color w:val="000000"/>
              </w:rPr>
              <w:t>制服统一、着装整洁，不准混装，按要求佩戴帽子，工作证。（未按规定每次扣0.5分）</w:t>
            </w:r>
          </w:p>
        </w:tc>
        <w:tc>
          <w:tcPr>
            <w:tcW w:w="924" w:type="dxa"/>
            <w:tcBorders>
              <w:top w:val="single" w:color="auto" w:sz="4" w:space="0"/>
              <w:left w:val="nil"/>
              <w:bottom w:val="single" w:color="auto" w:sz="4" w:space="0"/>
              <w:right w:val="single" w:color="auto" w:sz="4" w:space="0"/>
            </w:tcBorders>
            <w:noWrap w:val="0"/>
            <w:vAlign w:val="center"/>
          </w:tcPr>
          <w:p w14:paraId="518DD9B1">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3</w:t>
            </w:r>
          </w:p>
        </w:tc>
        <w:tc>
          <w:tcPr>
            <w:tcW w:w="900" w:type="dxa"/>
            <w:tcBorders>
              <w:top w:val="single" w:color="auto" w:sz="4" w:space="0"/>
              <w:left w:val="nil"/>
              <w:bottom w:val="single" w:color="auto" w:sz="4" w:space="0"/>
              <w:right w:val="single" w:color="auto" w:sz="4" w:space="0"/>
            </w:tcBorders>
            <w:noWrap w:val="0"/>
            <w:textDirection w:val="tbRlV"/>
            <w:vAlign w:val="center"/>
          </w:tcPr>
          <w:p w14:paraId="42F0DC90">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7743C451">
        <w:tblPrEx>
          <w:tblCellMar>
            <w:top w:w="0" w:type="dxa"/>
            <w:left w:w="108" w:type="dxa"/>
            <w:bottom w:w="0" w:type="dxa"/>
            <w:right w:w="108" w:type="dxa"/>
          </w:tblCellMar>
        </w:tblPrEx>
        <w:trPr>
          <w:trHeight w:val="600"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3406C958">
            <w:pPr>
              <w:spacing w:line="360" w:lineRule="exact"/>
              <w:rPr>
                <w:rFonts w:ascii="华文楷体" w:hAnsi="华文楷体" w:eastAsia="华文楷体" w:cs="宋体"/>
                <w:color w:val="000000"/>
              </w:rPr>
            </w:pP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6384CAA7">
            <w:pPr>
              <w:spacing w:line="360" w:lineRule="exact"/>
              <w:rPr>
                <w:rFonts w:ascii="华文楷体" w:hAnsi="华文楷体" w:eastAsia="华文楷体" w:cs="宋体"/>
                <w:color w:val="000000"/>
              </w:rPr>
            </w:pPr>
          </w:p>
        </w:tc>
        <w:tc>
          <w:tcPr>
            <w:tcW w:w="5970" w:type="dxa"/>
            <w:tcBorders>
              <w:top w:val="nil"/>
              <w:left w:val="nil"/>
              <w:bottom w:val="single" w:color="auto" w:sz="4" w:space="0"/>
              <w:right w:val="single" w:color="auto" w:sz="4" w:space="0"/>
            </w:tcBorders>
            <w:noWrap w:val="0"/>
            <w:vAlign w:val="center"/>
          </w:tcPr>
          <w:p w14:paraId="578F1597">
            <w:pPr>
              <w:spacing w:line="360" w:lineRule="exact"/>
              <w:rPr>
                <w:rFonts w:ascii="华文楷体" w:hAnsi="华文楷体" w:eastAsia="华文楷体" w:cs="宋体"/>
                <w:color w:val="000000"/>
              </w:rPr>
            </w:pPr>
            <w:r>
              <w:rPr>
                <w:rFonts w:hint="eastAsia" w:ascii="华文楷体" w:hAnsi="华文楷体" w:eastAsia="华文楷体" w:cs="宋体"/>
                <w:color w:val="000000"/>
              </w:rPr>
              <w:t>文明服务，以礼待人，严禁拉帮结伙、打架斗殴、吵架骂人。（未按规定每次扣1分）</w:t>
            </w:r>
          </w:p>
        </w:tc>
        <w:tc>
          <w:tcPr>
            <w:tcW w:w="924" w:type="dxa"/>
            <w:tcBorders>
              <w:top w:val="nil"/>
              <w:left w:val="nil"/>
              <w:bottom w:val="single" w:color="auto" w:sz="4" w:space="0"/>
              <w:right w:val="single" w:color="auto" w:sz="4" w:space="0"/>
            </w:tcBorders>
            <w:noWrap w:val="0"/>
            <w:vAlign w:val="center"/>
          </w:tcPr>
          <w:p w14:paraId="2D3EE4B2">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3</w:t>
            </w:r>
          </w:p>
        </w:tc>
        <w:tc>
          <w:tcPr>
            <w:tcW w:w="900" w:type="dxa"/>
            <w:tcBorders>
              <w:top w:val="nil"/>
              <w:left w:val="nil"/>
              <w:bottom w:val="single" w:color="auto" w:sz="4" w:space="0"/>
              <w:right w:val="single" w:color="auto" w:sz="4" w:space="0"/>
            </w:tcBorders>
            <w:noWrap w:val="0"/>
            <w:textDirection w:val="tbRlV"/>
            <w:vAlign w:val="center"/>
          </w:tcPr>
          <w:p w14:paraId="67AEDD3C">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5DB18C04">
        <w:tblPrEx>
          <w:tblCellMar>
            <w:top w:w="0" w:type="dxa"/>
            <w:left w:w="108" w:type="dxa"/>
            <w:bottom w:w="0" w:type="dxa"/>
            <w:right w:w="108" w:type="dxa"/>
          </w:tblCellMar>
        </w:tblPrEx>
        <w:trPr>
          <w:trHeight w:val="612"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16A8FF55">
            <w:pPr>
              <w:spacing w:line="360" w:lineRule="exact"/>
              <w:rPr>
                <w:rFonts w:ascii="华文楷体" w:hAnsi="华文楷体" w:eastAsia="华文楷体" w:cs="宋体"/>
                <w:color w:val="000000"/>
              </w:rPr>
            </w:pP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7461CCD8">
            <w:pPr>
              <w:spacing w:line="360" w:lineRule="exact"/>
              <w:rPr>
                <w:rFonts w:ascii="华文楷体" w:hAnsi="华文楷体" w:eastAsia="华文楷体" w:cs="宋体"/>
                <w:color w:val="000000"/>
              </w:rPr>
            </w:pPr>
          </w:p>
        </w:tc>
        <w:tc>
          <w:tcPr>
            <w:tcW w:w="5970" w:type="dxa"/>
            <w:tcBorders>
              <w:top w:val="nil"/>
              <w:left w:val="nil"/>
              <w:bottom w:val="single" w:color="auto" w:sz="4" w:space="0"/>
              <w:right w:val="single" w:color="auto" w:sz="4" w:space="0"/>
            </w:tcBorders>
            <w:noWrap w:val="0"/>
            <w:vAlign w:val="center"/>
          </w:tcPr>
          <w:p w14:paraId="1045BF17">
            <w:pPr>
              <w:spacing w:line="360" w:lineRule="exact"/>
              <w:rPr>
                <w:rFonts w:ascii="华文楷体" w:hAnsi="华文楷体" w:eastAsia="华文楷体" w:cs="宋体"/>
                <w:color w:val="000000"/>
              </w:rPr>
            </w:pPr>
            <w:r>
              <w:rPr>
                <w:rFonts w:hint="eastAsia" w:ascii="华文楷体" w:hAnsi="华文楷体" w:eastAsia="华文楷体" w:cs="宋体"/>
                <w:color w:val="000000"/>
              </w:rPr>
              <w:t>机动车、非机动车在规定的场地停放，管理有序；严禁未经许可的机动车和非机动车在场地内行驶。（未按规定每次扣0.5分）</w:t>
            </w:r>
          </w:p>
        </w:tc>
        <w:tc>
          <w:tcPr>
            <w:tcW w:w="924" w:type="dxa"/>
            <w:tcBorders>
              <w:top w:val="nil"/>
              <w:left w:val="nil"/>
              <w:bottom w:val="single" w:color="auto" w:sz="4" w:space="0"/>
              <w:right w:val="single" w:color="auto" w:sz="4" w:space="0"/>
            </w:tcBorders>
            <w:noWrap w:val="0"/>
            <w:vAlign w:val="center"/>
          </w:tcPr>
          <w:p w14:paraId="71D01DC8">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3</w:t>
            </w:r>
          </w:p>
        </w:tc>
        <w:tc>
          <w:tcPr>
            <w:tcW w:w="900" w:type="dxa"/>
            <w:tcBorders>
              <w:top w:val="nil"/>
              <w:left w:val="nil"/>
              <w:bottom w:val="single" w:color="auto" w:sz="4" w:space="0"/>
              <w:right w:val="single" w:color="auto" w:sz="4" w:space="0"/>
            </w:tcBorders>
            <w:noWrap w:val="0"/>
            <w:textDirection w:val="tbRlV"/>
            <w:vAlign w:val="center"/>
          </w:tcPr>
          <w:p w14:paraId="4FA5A2BF">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3BB75EAD">
        <w:tblPrEx>
          <w:tblCellMar>
            <w:top w:w="0" w:type="dxa"/>
            <w:left w:w="108" w:type="dxa"/>
            <w:bottom w:w="0" w:type="dxa"/>
            <w:right w:w="108" w:type="dxa"/>
          </w:tblCellMar>
        </w:tblPrEx>
        <w:trPr>
          <w:trHeight w:val="414"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64931817">
            <w:pPr>
              <w:spacing w:line="360" w:lineRule="exact"/>
              <w:rPr>
                <w:rFonts w:ascii="华文楷体" w:hAnsi="华文楷体" w:eastAsia="华文楷体" w:cs="宋体"/>
                <w:color w:val="000000"/>
              </w:rPr>
            </w:pP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64FC96AF">
            <w:pPr>
              <w:spacing w:line="360" w:lineRule="exact"/>
              <w:rPr>
                <w:rFonts w:ascii="华文楷体" w:hAnsi="华文楷体" w:eastAsia="华文楷体" w:cs="宋体"/>
                <w:color w:val="000000"/>
              </w:rPr>
            </w:pPr>
          </w:p>
        </w:tc>
        <w:tc>
          <w:tcPr>
            <w:tcW w:w="5970" w:type="dxa"/>
            <w:tcBorders>
              <w:top w:val="nil"/>
              <w:left w:val="nil"/>
              <w:bottom w:val="single" w:color="auto" w:sz="4" w:space="0"/>
              <w:right w:val="single" w:color="auto" w:sz="4" w:space="0"/>
            </w:tcBorders>
            <w:noWrap w:val="0"/>
            <w:vAlign w:val="center"/>
          </w:tcPr>
          <w:p w14:paraId="44D52106">
            <w:pPr>
              <w:spacing w:line="360" w:lineRule="exact"/>
              <w:rPr>
                <w:rFonts w:ascii="华文楷体" w:hAnsi="华文楷体" w:eastAsia="华文楷体" w:cs="宋体"/>
                <w:color w:val="000000"/>
              </w:rPr>
            </w:pPr>
            <w:r>
              <w:rPr>
                <w:rFonts w:hint="eastAsia" w:ascii="华文楷体" w:hAnsi="华文楷体" w:eastAsia="华文楷体" w:cs="宋体"/>
                <w:color w:val="000000"/>
              </w:rPr>
              <w:t>场地内严禁流动摊贩，烟花爆竹、传单兜售、乱登广告。（未按规定每次扣1分）</w:t>
            </w:r>
          </w:p>
        </w:tc>
        <w:tc>
          <w:tcPr>
            <w:tcW w:w="924" w:type="dxa"/>
            <w:tcBorders>
              <w:top w:val="nil"/>
              <w:left w:val="nil"/>
              <w:bottom w:val="single" w:color="auto" w:sz="4" w:space="0"/>
              <w:right w:val="single" w:color="auto" w:sz="4" w:space="0"/>
            </w:tcBorders>
            <w:noWrap w:val="0"/>
            <w:vAlign w:val="center"/>
          </w:tcPr>
          <w:p w14:paraId="2A72BE35">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3</w:t>
            </w:r>
          </w:p>
        </w:tc>
        <w:tc>
          <w:tcPr>
            <w:tcW w:w="900" w:type="dxa"/>
            <w:tcBorders>
              <w:top w:val="nil"/>
              <w:left w:val="nil"/>
              <w:bottom w:val="single" w:color="auto" w:sz="4" w:space="0"/>
              <w:right w:val="single" w:color="auto" w:sz="4" w:space="0"/>
            </w:tcBorders>
            <w:noWrap w:val="0"/>
            <w:textDirection w:val="tbRlV"/>
            <w:vAlign w:val="center"/>
          </w:tcPr>
          <w:p w14:paraId="084DD968">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0B981BB2">
        <w:tblPrEx>
          <w:tblCellMar>
            <w:top w:w="0" w:type="dxa"/>
            <w:left w:w="108" w:type="dxa"/>
            <w:bottom w:w="0" w:type="dxa"/>
            <w:right w:w="108" w:type="dxa"/>
          </w:tblCellMar>
        </w:tblPrEx>
        <w:trPr>
          <w:trHeight w:val="615"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07EAD2EC">
            <w:pPr>
              <w:spacing w:line="360" w:lineRule="exact"/>
              <w:rPr>
                <w:rFonts w:ascii="华文楷体" w:hAnsi="华文楷体" w:eastAsia="华文楷体" w:cs="宋体"/>
                <w:color w:val="000000"/>
              </w:rPr>
            </w:pPr>
          </w:p>
        </w:tc>
        <w:tc>
          <w:tcPr>
            <w:tcW w:w="709" w:type="dxa"/>
            <w:vMerge w:val="continue"/>
            <w:tcBorders>
              <w:top w:val="single" w:color="auto" w:sz="4" w:space="0"/>
              <w:left w:val="single" w:color="auto" w:sz="4" w:space="0"/>
              <w:bottom w:val="single" w:color="auto" w:sz="4" w:space="0"/>
              <w:right w:val="single" w:color="auto" w:sz="4" w:space="0"/>
            </w:tcBorders>
            <w:noWrap w:val="0"/>
            <w:vAlign w:val="center"/>
          </w:tcPr>
          <w:p w14:paraId="7F133A03">
            <w:pPr>
              <w:spacing w:line="360" w:lineRule="exact"/>
              <w:rPr>
                <w:rFonts w:ascii="华文楷体" w:hAnsi="华文楷体" w:eastAsia="华文楷体" w:cs="宋体"/>
                <w:color w:val="000000"/>
              </w:rPr>
            </w:pPr>
          </w:p>
        </w:tc>
        <w:tc>
          <w:tcPr>
            <w:tcW w:w="5970" w:type="dxa"/>
            <w:tcBorders>
              <w:top w:val="nil"/>
              <w:left w:val="nil"/>
              <w:bottom w:val="single" w:color="auto" w:sz="4" w:space="0"/>
              <w:right w:val="single" w:color="auto" w:sz="4" w:space="0"/>
            </w:tcBorders>
            <w:noWrap w:val="0"/>
            <w:vAlign w:val="center"/>
          </w:tcPr>
          <w:p w14:paraId="540951A5">
            <w:pPr>
              <w:spacing w:line="360" w:lineRule="exact"/>
              <w:rPr>
                <w:rFonts w:ascii="华文楷体" w:hAnsi="华文楷体" w:eastAsia="华文楷体" w:cs="宋体"/>
                <w:color w:val="000000"/>
              </w:rPr>
            </w:pPr>
            <w:r>
              <w:rPr>
                <w:rFonts w:hint="eastAsia" w:ascii="华文楷体" w:hAnsi="华文楷体" w:eastAsia="华文楷体" w:cs="宋体"/>
                <w:color w:val="000000"/>
              </w:rPr>
              <w:t>及时制止遛狗、践踏草坪、采摘花果、“三乱”（乱涂写、乱刻画、乱张贴）等破坏场地内设施行为。（未按规定每次扣0.5分）</w:t>
            </w:r>
          </w:p>
        </w:tc>
        <w:tc>
          <w:tcPr>
            <w:tcW w:w="924" w:type="dxa"/>
            <w:tcBorders>
              <w:top w:val="nil"/>
              <w:left w:val="nil"/>
              <w:bottom w:val="single" w:color="auto" w:sz="4" w:space="0"/>
              <w:right w:val="single" w:color="auto" w:sz="4" w:space="0"/>
            </w:tcBorders>
            <w:noWrap w:val="0"/>
            <w:vAlign w:val="center"/>
          </w:tcPr>
          <w:p w14:paraId="5F24A514">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3</w:t>
            </w:r>
          </w:p>
        </w:tc>
        <w:tc>
          <w:tcPr>
            <w:tcW w:w="900" w:type="dxa"/>
            <w:tcBorders>
              <w:top w:val="nil"/>
              <w:left w:val="nil"/>
              <w:bottom w:val="single" w:color="auto" w:sz="4" w:space="0"/>
              <w:right w:val="single" w:color="auto" w:sz="4" w:space="0"/>
            </w:tcBorders>
            <w:noWrap w:val="0"/>
            <w:textDirection w:val="tbRlV"/>
            <w:vAlign w:val="center"/>
          </w:tcPr>
          <w:p w14:paraId="72353756">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77C0D9FF">
        <w:tblPrEx>
          <w:tblCellMar>
            <w:top w:w="0" w:type="dxa"/>
            <w:left w:w="108" w:type="dxa"/>
            <w:bottom w:w="0" w:type="dxa"/>
            <w:right w:w="108" w:type="dxa"/>
          </w:tblCellMar>
        </w:tblPrEx>
        <w:trPr>
          <w:trHeight w:val="1023"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209388EC">
            <w:pPr>
              <w:spacing w:line="360" w:lineRule="exact"/>
              <w:rPr>
                <w:rFonts w:ascii="华文楷体" w:hAnsi="华文楷体" w:eastAsia="华文楷体" w:cs="宋体"/>
                <w:color w:val="000000"/>
              </w:rPr>
            </w:pPr>
          </w:p>
        </w:tc>
        <w:tc>
          <w:tcPr>
            <w:tcW w:w="709"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14:paraId="6068C6E0">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值班岗管理（10分）</w:t>
            </w:r>
          </w:p>
        </w:tc>
        <w:tc>
          <w:tcPr>
            <w:tcW w:w="5970" w:type="dxa"/>
            <w:tcBorders>
              <w:top w:val="single" w:color="auto" w:sz="4" w:space="0"/>
              <w:left w:val="nil"/>
              <w:bottom w:val="single" w:color="auto" w:sz="4" w:space="0"/>
              <w:right w:val="single" w:color="auto" w:sz="4" w:space="0"/>
            </w:tcBorders>
            <w:noWrap w:val="0"/>
            <w:vAlign w:val="center"/>
          </w:tcPr>
          <w:p w14:paraId="32FB7B54">
            <w:pPr>
              <w:spacing w:line="360" w:lineRule="exact"/>
              <w:rPr>
                <w:rFonts w:ascii="华文楷体" w:hAnsi="华文楷体" w:eastAsia="华文楷体" w:cs="宋体"/>
                <w:color w:val="000000"/>
              </w:rPr>
            </w:pPr>
            <w:r>
              <w:rPr>
                <w:rFonts w:hint="eastAsia" w:ascii="华文楷体" w:hAnsi="华文楷体" w:eastAsia="华文楷体" w:cs="宋体"/>
                <w:color w:val="000000"/>
              </w:rPr>
              <w:t>岗亭、值班室内办公用品摆放整齐，无杂物堆放，及时保持卫生清洁。（未按规定每次扣0.5分）</w:t>
            </w:r>
          </w:p>
        </w:tc>
        <w:tc>
          <w:tcPr>
            <w:tcW w:w="924" w:type="dxa"/>
            <w:tcBorders>
              <w:top w:val="single" w:color="auto" w:sz="4" w:space="0"/>
              <w:left w:val="nil"/>
              <w:bottom w:val="single" w:color="auto" w:sz="4" w:space="0"/>
              <w:right w:val="single" w:color="auto" w:sz="4" w:space="0"/>
            </w:tcBorders>
            <w:noWrap w:val="0"/>
            <w:vAlign w:val="center"/>
          </w:tcPr>
          <w:p w14:paraId="44A553B1">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5</w:t>
            </w:r>
          </w:p>
        </w:tc>
        <w:tc>
          <w:tcPr>
            <w:tcW w:w="900" w:type="dxa"/>
            <w:tcBorders>
              <w:top w:val="single" w:color="auto" w:sz="4" w:space="0"/>
              <w:left w:val="nil"/>
              <w:bottom w:val="single" w:color="auto" w:sz="4" w:space="0"/>
              <w:right w:val="single" w:color="auto" w:sz="4" w:space="0"/>
            </w:tcBorders>
            <w:noWrap w:val="0"/>
            <w:textDirection w:val="tbRlV"/>
            <w:vAlign w:val="center"/>
          </w:tcPr>
          <w:p w14:paraId="0A4C8E82">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4BBAC3F4">
        <w:tblPrEx>
          <w:tblCellMar>
            <w:top w:w="0" w:type="dxa"/>
            <w:left w:w="108" w:type="dxa"/>
            <w:bottom w:w="0" w:type="dxa"/>
            <w:right w:w="108" w:type="dxa"/>
          </w:tblCellMar>
        </w:tblPrEx>
        <w:trPr>
          <w:trHeight w:val="995"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1F49B1C7">
            <w:pPr>
              <w:spacing w:line="360" w:lineRule="exact"/>
              <w:rPr>
                <w:rFonts w:ascii="华文楷体" w:hAnsi="华文楷体" w:eastAsia="华文楷体" w:cs="宋体"/>
                <w:color w:val="000000"/>
              </w:rPr>
            </w:pPr>
          </w:p>
        </w:tc>
        <w:tc>
          <w:tcPr>
            <w:tcW w:w="709" w:type="dxa"/>
            <w:vMerge w:val="continue"/>
            <w:tcBorders>
              <w:top w:val="nil"/>
              <w:left w:val="single" w:color="auto" w:sz="4" w:space="0"/>
              <w:bottom w:val="single" w:color="auto" w:sz="4" w:space="0"/>
              <w:right w:val="single" w:color="auto" w:sz="4" w:space="0"/>
            </w:tcBorders>
            <w:noWrap w:val="0"/>
            <w:vAlign w:val="center"/>
          </w:tcPr>
          <w:p w14:paraId="5AE52BDF">
            <w:pPr>
              <w:spacing w:line="360" w:lineRule="exact"/>
              <w:rPr>
                <w:rFonts w:ascii="华文楷体" w:hAnsi="华文楷体" w:eastAsia="华文楷体" w:cs="宋体"/>
                <w:color w:val="000000"/>
              </w:rPr>
            </w:pPr>
          </w:p>
        </w:tc>
        <w:tc>
          <w:tcPr>
            <w:tcW w:w="5970" w:type="dxa"/>
            <w:tcBorders>
              <w:top w:val="nil"/>
              <w:left w:val="nil"/>
              <w:bottom w:val="single" w:color="auto" w:sz="4" w:space="0"/>
              <w:right w:val="single" w:color="auto" w:sz="4" w:space="0"/>
            </w:tcBorders>
            <w:noWrap w:val="0"/>
            <w:vAlign w:val="center"/>
          </w:tcPr>
          <w:p w14:paraId="4927DF9F">
            <w:pPr>
              <w:spacing w:line="360" w:lineRule="exact"/>
              <w:rPr>
                <w:rFonts w:ascii="华文楷体" w:hAnsi="华文楷体" w:eastAsia="华文楷体" w:cs="宋体"/>
                <w:color w:val="000000"/>
              </w:rPr>
            </w:pPr>
            <w:r>
              <w:rPr>
                <w:rFonts w:hint="eastAsia" w:ascii="华文楷体" w:hAnsi="华文楷体" w:eastAsia="华文楷体" w:cs="宋体"/>
                <w:color w:val="000000"/>
              </w:rPr>
              <w:t>熟练操作各种设施设备。（未按规定每次扣1分）</w:t>
            </w:r>
          </w:p>
        </w:tc>
        <w:tc>
          <w:tcPr>
            <w:tcW w:w="924" w:type="dxa"/>
            <w:tcBorders>
              <w:top w:val="nil"/>
              <w:left w:val="nil"/>
              <w:bottom w:val="single" w:color="auto" w:sz="4" w:space="0"/>
              <w:right w:val="single" w:color="auto" w:sz="4" w:space="0"/>
            </w:tcBorders>
            <w:noWrap w:val="0"/>
            <w:vAlign w:val="center"/>
          </w:tcPr>
          <w:p w14:paraId="29245116">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5</w:t>
            </w:r>
          </w:p>
        </w:tc>
        <w:tc>
          <w:tcPr>
            <w:tcW w:w="900" w:type="dxa"/>
            <w:tcBorders>
              <w:top w:val="nil"/>
              <w:left w:val="nil"/>
              <w:bottom w:val="single" w:color="auto" w:sz="4" w:space="0"/>
              <w:right w:val="single" w:color="auto" w:sz="4" w:space="0"/>
            </w:tcBorders>
            <w:noWrap w:val="0"/>
            <w:textDirection w:val="tbRlV"/>
            <w:vAlign w:val="center"/>
          </w:tcPr>
          <w:p w14:paraId="67D2493C">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11B058C1">
        <w:tblPrEx>
          <w:tblCellMar>
            <w:top w:w="0" w:type="dxa"/>
            <w:left w:w="108" w:type="dxa"/>
            <w:bottom w:w="0" w:type="dxa"/>
            <w:right w:w="108" w:type="dxa"/>
          </w:tblCellMar>
        </w:tblPrEx>
        <w:trPr>
          <w:trHeight w:val="983"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23295666">
            <w:pPr>
              <w:spacing w:line="360" w:lineRule="exact"/>
              <w:rPr>
                <w:rFonts w:ascii="华文楷体" w:hAnsi="华文楷体" w:eastAsia="华文楷体" w:cs="宋体"/>
                <w:color w:val="000000"/>
              </w:rPr>
            </w:pPr>
          </w:p>
        </w:tc>
        <w:tc>
          <w:tcPr>
            <w:tcW w:w="709" w:type="dxa"/>
            <w:vMerge w:val="restart"/>
            <w:tcBorders>
              <w:top w:val="nil"/>
              <w:left w:val="single" w:color="auto" w:sz="4" w:space="0"/>
              <w:bottom w:val="single" w:color="auto" w:sz="4" w:space="0"/>
              <w:right w:val="single" w:color="auto" w:sz="4" w:space="0"/>
            </w:tcBorders>
            <w:noWrap w:val="0"/>
            <w:textDirection w:val="tbRlV"/>
            <w:vAlign w:val="center"/>
          </w:tcPr>
          <w:p w14:paraId="177154B7">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 xml:space="preserve">  其他（10分）</w:t>
            </w:r>
          </w:p>
        </w:tc>
        <w:tc>
          <w:tcPr>
            <w:tcW w:w="5970" w:type="dxa"/>
            <w:tcBorders>
              <w:top w:val="single" w:color="auto" w:sz="4" w:space="0"/>
              <w:left w:val="nil"/>
              <w:bottom w:val="single" w:color="auto" w:sz="4" w:space="0"/>
              <w:right w:val="single" w:color="auto" w:sz="4" w:space="0"/>
            </w:tcBorders>
            <w:noWrap w:val="0"/>
            <w:vAlign w:val="center"/>
          </w:tcPr>
          <w:p w14:paraId="5BED28D7">
            <w:pPr>
              <w:spacing w:line="360" w:lineRule="exact"/>
              <w:rPr>
                <w:rFonts w:ascii="华文楷体" w:hAnsi="华文楷体" w:eastAsia="华文楷体" w:cs="宋体"/>
                <w:color w:val="000000"/>
              </w:rPr>
            </w:pPr>
            <w:r>
              <w:rPr>
                <w:rFonts w:hint="eastAsia" w:ascii="华文楷体" w:hAnsi="华文楷体" w:eastAsia="华文楷体" w:cs="宋体"/>
                <w:color w:val="000000"/>
              </w:rPr>
              <w:t>做好场地内防火、防盗、防破坏、防伤害事故等安全防范和监控工作。（未按规定每次扣1分）</w:t>
            </w:r>
          </w:p>
        </w:tc>
        <w:tc>
          <w:tcPr>
            <w:tcW w:w="924" w:type="dxa"/>
            <w:tcBorders>
              <w:top w:val="nil"/>
              <w:left w:val="nil"/>
              <w:bottom w:val="single" w:color="auto" w:sz="4" w:space="0"/>
              <w:right w:val="single" w:color="auto" w:sz="4" w:space="0"/>
            </w:tcBorders>
            <w:noWrap w:val="0"/>
            <w:vAlign w:val="center"/>
          </w:tcPr>
          <w:p w14:paraId="1F9DC6F9">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5</w:t>
            </w:r>
          </w:p>
        </w:tc>
        <w:tc>
          <w:tcPr>
            <w:tcW w:w="900" w:type="dxa"/>
            <w:tcBorders>
              <w:top w:val="nil"/>
              <w:left w:val="nil"/>
              <w:bottom w:val="single" w:color="auto" w:sz="4" w:space="0"/>
              <w:right w:val="single" w:color="auto" w:sz="4" w:space="0"/>
            </w:tcBorders>
            <w:noWrap w:val="0"/>
            <w:textDirection w:val="tbRlV"/>
            <w:vAlign w:val="center"/>
          </w:tcPr>
          <w:p w14:paraId="3405E0A6">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4A5D87F0">
        <w:tblPrEx>
          <w:tblCellMar>
            <w:top w:w="0" w:type="dxa"/>
            <w:left w:w="108" w:type="dxa"/>
            <w:bottom w:w="0" w:type="dxa"/>
            <w:right w:w="108" w:type="dxa"/>
          </w:tblCellMar>
        </w:tblPrEx>
        <w:trPr>
          <w:trHeight w:val="940" w:hRule="atLeast"/>
        </w:trPr>
        <w:tc>
          <w:tcPr>
            <w:tcW w:w="675" w:type="dxa"/>
            <w:vMerge w:val="continue"/>
            <w:tcBorders>
              <w:top w:val="single" w:color="auto" w:sz="4" w:space="0"/>
              <w:left w:val="single" w:color="auto" w:sz="4" w:space="0"/>
              <w:bottom w:val="single" w:color="000000" w:sz="4" w:space="0"/>
              <w:right w:val="single" w:color="auto" w:sz="4" w:space="0"/>
            </w:tcBorders>
            <w:noWrap w:val="0"/>
            <w:vAlign w:val="center"/>
          </w:tcPr>
          <w:p w14:paraId="3C8F0AC2">
            <w:pPr>
              <w:spacing w:line="360" w:lineRule="exact"/>
              <w:rPr>
                <w:rFonts w:ascii="华文楷体" w:hAnsi="华文楷体" w:eastAsia="华文楷体" w:cs="宋体"/>
                <w:color w:val="000000"/>
              </w:rPr>
            </w:pPr>
          </w:p>
        </w:tc>
        <w:tc>
          <w:tcPr>
            <w:tcW w:w="709" w:type="dxa"/>
            <w:vMerge w:val="continue"/>
            <w:tcBorders>
              <w:top w:val="nil"/>
              <w:left w:val="single" w:color="auto" w:sz="4" w:space="0"/>
              <w:bottom w:val="single" w:color="auto" w:sz="4" w:space="0"/>
              <w:right w:val="single" w:color="auto" w:sz="4" w:space="0"/>
            </w:tcBorders>
            <w:noWrap w:val="0"/>
            <w:vAlign w:val="center"/>
          </w:tcPr>
          <w:p w14:paraId="3F075EAA">
            <w:pPr>
              <w:spacing w:line="360" w:lineRule="exact"/>
              <w:rPr>
                <w:rFonts w:ascii="华文楷体" w:hAnsi="华文楷体" w:eastAsia="华文楷体" w:cs="宋体"/>
                <w:color w:val="000000"/>
              </w:rPr>
            </w:pPr>
          </w:p>
        </w:tc>
        <w:tc>
          <w:tcPr>
            <w:tcW w:w="5970" w:type="dxa"/>
            <w:tcBorders>
              <w:top w:val="nil"/>
              <w:left w:val="nil"/>
              <w:bottom w:val="single" w:color="auto" w:sz="4" w:space="0"/>
              <w:right w:val="single" w:color="auto" w:sz="4" w:space="0"/>
            </w:tcBorders>
            <w:noWrap w:val="0"/>
            <w:vAlign w:val="center"/>
          </w:tcPr>
          <w:p w14:paraId="7D6F4C4F">
            <w:pPr>
              <w:spacing w:line="360" w:lineRule="exact"/>
              <w:rPr>
                <w:rFonts w:ascii="华文楷体" w:hAnsi="华文楷体" w:eastAsia="华文楷体" w:cs="宋体"/>
                <w:color w:val="000000"/>
              </w:rPr>
            </w:pPr>
            <w:r>
              <w:rPr>
                <w:rFonts w:hint="eastAsia" w:ascii="华文楷体" w:hAnsi="华文楷体" w:eastAsia="华文楷体" w:cs="宋体"/>
                <w:color w:val="000000"/>
              </w:rPr>
              <w:t>保安人员应按合同规定配备，无擅自脱岗、闲谈、消极怠工现象。（未按规定每次扣2分）</w:t>
            </w:r>
          </w:p>
        </w:tc>
        <w:tc>
          <w:tcPr>
            <w:tcW w:w="924" w:type="dxa"/>
            <w:tcBorders>
              <w:top w:val="nil"/>
              <w:left w:val="nil"/>
              <w:bottom w:val="single" w:color="auto" w:sz="4" w:space="0"/>
              <w:right w:val="single" w:color="auto" w:sz="4" w:space="0"/>
            </w:tcBorders>
            <w:noWrap w:val="0"/>
            <w:vAlign w:val="center"/>
          </w:tcPr>
          <w:p w14:paraId="009697D6">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5</w:t>
            </w:r>
          </w:p>
        </w:tc>
        <w:tc>
          <w:tcPr>
            <w:tcW w:w="900" w:type="dxa"/>
            <w:tcBorders>
              <w:top w:val="nil"/>
              <w:left w:val="nil"/>
              <w:bottom w:val="single" w:color="auto" w:sz="4" w:space="0"/>
              <w:right w:val="single" w:color="auto" w:sz="4" w:space="0"/>
            </w:tcBorders>
            <w:noWrap w:val="0"/>
            <w:textDirection w:val="tbRlV"/>
            <w:vAlign w:val="center"/>
          </w:tcPr>
          <w:p w14:paraId="71CA7C6F">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bl>
    <w:p w14:paraId="1F22C43E">
      <w:pPr>
        <w:pStyle w:val="3"/>
        <w:spacing w:line="520" w:lineRule="exact"/>
        <w:ind w:left="0" w:leftChars="0"/>
        <w:rPr>
          <w:rFonts w:ascii="华文楷体" w:hAnsi="华文楷体" w:eastAsia="华文楷体" w:cs="宋体"/>
          <w:b/>
          <w:color w:val="00000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5954"/>
        <w:gridCol w:w="940"/>
        <w:gridCol w:w="888"/>
      </w:tblGrid>
      <w:tr w14:paraId="6BD2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75" w:type="dxa"/>
            <w:vMerge w:val="restart"/>
            <w:noWrap w:val="0"/>
            <w:textDirection w:val="tbRlV"/>
            <w:vAlign w:val="center"/>
          </w:tcPr>
          <w:p w14:paraId="7A7A7280">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卫生保洁服务（45分）</w:t>
            </w:r>
          </w:p>
        </w:tc>
        <w:tc>
          <w:tcPr>
            <w:tcW w:w="709" w:type="dxa"/>
            <w:vMerge w:val="restart"/>
            <w:noWrap w:val="0"/>
            <w:vAlign w:val="center"/>
          </w:tcPr>
          <w:p w14:paraId="01B02B94">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作业质量    （30分）</w:t>
            </w:r>
          </w:p>
        </w:tc>
        <w:tc>
          <w:tcPr>
            <w:tcW w:w="5954" w:type="dxa"/>
            <w:noWrap w:val="0"/>
            <w:vAlign w:val="center"/>
          </w:tcPr>
          <w:p w14:paraId="6E19E858">
            <w:pPr>
              <w:spacing w:line="360" w:lineRule="exact"/>
              <w:rPr>
                <w:rFonts w:ascii="华文楷体" w:hAnsi="华文楷体" w:eastAsia="华文楷体" w:cs="宋体"/>
                <w:color w:val="000000"/>
              </w:rPr>
            </w:pPr>
            <w:r>
              <w:rPr>
                <w:rFonts w:hint="eastAsia" w:ascii="华文楷体" w:hAnsi="华文楷体" w:eastAsia="华文楷体" w:cs="宋体"/>
                <w:color w:val="000000"/>
              </w:rPr>
              <w:t>骆驼桥体育场范围内（绿地、园路、铺装等公共场所）无白色垃圾、无果皮纸屑、无杂物堆积、无树挂、无积水污渍、无卫生死角。（未按规定每次扣0.2分）</w:t>
            </w:r>
          </w:p>
        </w:tc>
        <w:tc>
          <w:tcPr>
            <w:tcW w:w="940" w:type="dxa"/>
            <w:noWrap w:val="0"/>
            <w:vAlign w:val="center"/>
          </w:tcPr>
          <w:p w14:paraId="5B13985A">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6</w:t>
            </w:r>
          </w:p>
        </w:tc>
        <w:tc>
          <w:tcPr>
            <w:tcW w:w="888" w:type="dxa"/>
            <w:noWrap w:val="0"/>
            <w:textDirection w:val="tbRlV"/>
            <w:vAlign w:val="center"/>
          </w:tcPr>
          <w:p w14:paraId="1DDB1DE7">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6668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75" w:type="dxa"/>
            <w:vMerge w:val="continue"/>
            <w:noWrap w:val="0"/>
            <w:vAlign w:val="center"/>
          </w:tcPr>
          <w:p w14:paraId="34160551">
            <w:pPr>
              <w:spacing w:line="360" w:lineRule="exact"/>
              <w:rPr>
                <w:rFonts w:ascii="华文楷体" w:hAnsi="华文楷体" w:eastAsia="华文楷体" w:cs="宋体"/>
                <w:color w:val="000000"/>
              </w:rPr>
            </w:pPr>
          </w:p>
        </w:tc>
        <w:tc>
          <w:tcPr>
            <w:tcW w:w="709" w:type="dxa"/>
            <w:vMerge w:val="continue"/>
            <w:noWrap w:val="0"/>
            <w:vAlign w:val="center"/>
          </w:tcPr>
          <w:p w14:paraId="289FD681">
            <w:pPr>
              <w:spacing w:line="360" w:lineRule="exact"/>
              <w:rPr>
                <w:rFonts w:ascii="华文楷体" w:hAnsi="华文楷体" w:eastAsia="华文楷体" w:cs="宋体"/>
                <w:color w:val="000000"/>
              </w:rPr>
            </w:pPr>
          </w:p>
        </w:tc>
        <w:tc>
          <w:tcPr>
            <w:tcW w:w="5954" w:type="dxa"/>
            <w:noWrap w:val="0"/>
            <w:vAlign w:val="center"/>
          </w:tcPr>
          <w:p w14:paraId="5E178398">
            <w:pPr>
              <w:spacing w:line="360" w:lineRule="exact"/>
              <w:rPr>
                <w:rFonts w:ascii="华文楷体" w:hAnsi="华文楷体" w:eastAsia="华文楷体" w:cs="宋体"/>
                <w:color w:val="000000"/>
              </w:rPr>
            </w:pPr>
            <w:r>
              <w:rPr>
                <w:rFonts w:hint="eastAsia" w:ascii="华文楷体" w:hAnsi="华文楷体" w:eastAsia="华文楷体" w:cs="宋体"/>
                <w:color w:val="000000"/>
              </w:rPr>
              <w:t>场地内设施、果壳箱等设施每日擦洗一遍，保持洁净美观，无积尘，无虫网。（未按规定每次扣0.5分）</w:t>
            </w:r>
          </w:p>
        </w:tc>
        <w:tc>
          <w:tcPr>
            <w:tcW w:w="940" w:type="dxa"/>
            <w:noWrap w:val="0"/>
            <w:vAlign w:val="center"/>
          </w:tcPr>
          <w:p w14:paraId="4DFD612A">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6</w:t>
            </w:r>
          </w:p>
        </w:tc>
        <w:tc>
          <w:tcPr>
            <w:tcW w:w="888" w:type="dxa"/>
            <w:noWrap w:val="0"/>
            <w:textDirection w:val="tbRlV"/>
            <w:vAlign w:val="center"/>
          </w:tcPr>
          <w:p w14:paraId="6D0451F8">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3F72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75" w:type="dxa"/>
            <w:vMerge w:val="continue"/>
            <w:noWrap w:val="0"/>
            <w:vAlign w:val="center"/>
          </w:tcPr>
          <w:p w14:paraId="29AF6CD2">
            <w:pPr>
              <w:spacing w:line="360" w:lineRule="exact"/>
              <w:rPr>
                <w:rFonts w:ascii="华文楷体" w:hAnsi="华文楷体" w:eastAsia="华文楷体" w:cs="宋体"/>
                <w:color w:val="000000"/>
              </w:rPr>
            </w:pPr>
          </w:p>
        </w:tc>
        <w:tc>
          <w:tcPr>
            <w:tcW w:w="709" w:type="dxa"/>
            <w:vMerge w:val="continue"/>
            <w:noWrap w:val="0"/>
            <w:vAlign w:val="center"/>
          </w:tcPr>
          <w:p w14:paraId="55C4592F">
            <w:pPr>
              <w:spacing w:line="360" w:lineRule="exact"/>
              <w:rPr>
                <w:rFonts w:ascii="华文楷体" w:hAnsi="华文楷体" w:eastAsia="华文楷体" w:cs="宋体"/>
                <w:color w:val="000000"/>
              </w:rPr>
            </w:pPr>
          </w:p>
        </w:tc>
        <w:tc>
          <w:tcPr>
            <w:tcW w:w="5954" w:type="dxa"/>
            <w:noWrap w:val="0"/>
            <w:vAlign w:val="center"/>
          </w:tcPr>
          <w:p w14:paraId="0B17FDCC">
            <w:pPr>
              <w:spacing w:line="360" w:lineRule="exact"/>
              <w:rPr>
                <w:rFonts w:ascii="华文楷体" w:hAnsi="华文楷体" w:eastAsia="华文楷体" w:cs="宋体"/>
                <w:color w:val="000000"/>
              </w:rPr>
            </w:pPr>
            <w:r>
              <w:rPr>
                <w:rFonts w:hint="eastAsia" w:ascii="华文楷体" w:hAnsi="华文楷体" w:eastAsia="华文楷体" w:cs="宋体"/>
                <w:color w:val="000000"/>
              </w:rPr>
              <w:t>无“三乱”（乱张贴、乱涂写、乱刻画）。（未按规定每次扣0.5分）</w:t>
            </w:r>
          </w:p>
        </w:tc>
        <w:tc>
          <w:tcPr>
            <w:tcW w:w="940" w:type="dxa"/>
            <w:noWrap w:val="0"/>
            <w:vAlign w:val="center"/>
          </w:tcPr>
          <w:p w14:paraId="0E3934AE">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6</w:t>
            </w:r>
          </w:p>
        </w:tc>
        <w:tc>
          <w:tcPr>
            <w:tcW w:w="888" w:type="dxa"/>
            <w:noWrap w:val="0"/>
            <w:textDirection w:val="tbRlV"/>
            <w:vAlign w:val="center"/>
          </w:tcPr>
          <w:p w14:paraId="263B3369">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04C1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75" w:type="dxa"/>
            <w:vMerge w:val="continue"/>
            <w:noWrap w:val="0"/>
            <w:vAlign w:val="center"/>
          </w:tcPr>
          <w:p w14:paraId="0CD097A9">
            <w:pPr>
              <w:spacing w:line="360" w:lineRule="exact"/>
              <w:rPr>
                <w:rFonts w:ascii="华文楷体" w:hAnsi="华文楷体" w:eastAsia="华文楷体" w:cs="宋体"/>
                <w:color w:val="000000"/>
              </w:rPr>
            </w:pPr>
          </w:p>
        </w:tc>
        <w:tc>
          <w:tcPr>
            <w:tcW w:w="709" w:type="dxa"/>
            <w:vMerge w:val="continue"/>
            <w:noWrap w:val="0"/>
            <w:vAlign w:val="center"/>
          </w:tcPr>
          <w:p w14:paraId="2C443379">
            <w:pPr>
              <w:spacing w:line="360" w:lineRule="exact"/>
              <w:rPr>
                <w:rFonts w:ascii="华文楷体" w:hAnsi="华文楷体" w:eastAsia="华文楷体" w:cs="宋体"/>
                <w:color w:val="000000"/>
              </w:rPr>
            </w:pPr>
          </w:p>
        </w:tc>
        <w:tc>
          <w:tcPr>
            <w:tcW w:w="5954" w:type="dxa"/>
            <w:noWrap w:val="0"/>
            <w:vAlign w:val="center"/>
          </w:tcPr>
          <w:p w14:paraId="0BB22B62">
            <w:pPr>
              <w:spacing w:line="360" w:lineRule="exact"/>
              <w:rPr>
                <w:rFonts w:ascii="华文楷体" w:hAnsi="华文楷体" w:eastAsia="华文楷体" w:cs="宋体"/>
                <w:color w:val="000000"/>
              </w:rPr>
            </w:pPr>
            <w:r>
              <w:rPr>
                <w:rFonts w:hint="eastAsia" w:ascii="华文楷体" w:hAnsi="华文楷体" w:eastAsia="华文楷体" w:cs="宋体"/>
                <w:color w:val="000000"/>
              </w:rPr>
              <w:t>果壳箱应及时清理，做到无满溢、内外无残存垃圾与污水，保持箱体及周边环境干净整洁。（未按规定每次扣0.5分）</w:t>
            </w:r>
          </w:p>
        </w:tc>
        <w:tc>
          <w:tcPr>
            <w:tcW w:w="940" w:type="dxa"/>
            <w:noWrap w:val="0"/>
            <w:vAlign w:val="center"/>
          </w:tcPr>
          <w:p w14:paraId="4CBE0073">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6</w:t>
            </w:r>
          </w:p>
        </w:tc>
        <w:tc>
          <w:tcPr>
            <w:tcW w:w="888" w:type="dxa"/>
            <w:noWrap w:val="0"/>
            <w:textDirection w:val="tbRlV"/>
            <w:vAlign w:val="center"/>
          </w:tcPr>
          <w:p w14:paraId="66A70B2B">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1C7D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675" w:type="dxa"/>
            <w:vMerge w:val="continue"/>
            <w:noWrap w:val="0"/>
            <w:vAlign w:val="center"/>
          </w:tcPr>
          <w:p w14:paraId="5C094C09">
            <w:pPr>
              <w:spacing w:line="360" w:lineRule="exact"/>
              <w:rPr>
                <w:rFonts w:ascii="华文楷体" w:hAnsi="华文楷体" w:eastAsia="华文楷体" w:cs="宋体"/>
                <w:color w:val="000000"/>
              </w:rPr>
            </w:pPr>
          </w:p>
        </w:tc>
        <w:tc>
          <w:tcPr>
            <w:tcW w:w="709" w:type="dxa"/>
            <w:vMerge w:val="continue"/>
            <w:noWrap w:val="0"/>
            <w:vAlign w:val="center"/>
          </w:tcPr>
          <w:p w14:paraId="5CB53C33">
            <w:pPr>
              <w:spacing w:line="360" w:lineRule="exact"/>
              <w:rPr>
                <w:rFonts w:ascii="华文楷体" w:hAnsi="华文楷体" w:eastAsia="华文楷体" w:cs="宋体"/>
                <w:color w:val="000000"/>
              </w:rPr>
            </w:pPr>
          </w:p>
        </w:tc>
        <w:tc>
          <w:tcPr>
            <w:tcW w:w="5954" w:type="dxa"/>
            <w:noWrap w:val="0"/>
            <w:vAlign w:val="center"/>
          </w:tcPr>
          <w:p w14:paraId="3283311B">
            <w:pPr>
              <w:spacing w:line="360" w:lineRule="exact"/>
              <w:rPr>
                <w:rFonts w:ascii="华文楷体" w:hAnsi="华文楷体" w:eastAsia="华文楷体" w:cs="宋体"/>
                <w:color w:val="000000"/>
              </w:rPr>
            </w:pPr>
            <w:r>
              <w:rPr>
                <w:rFonts w:hint="eastAsia" w:ascii="华文楷体" w:hAnsi="华文楷体" w:eastAsia="华文楷体" w:cs="宋体"/>
                <w:color w:val="000000"/>
              </w:rPr>
              <w:t>厕所按规定时间开放，厕所内设施（照明灯、储水箱、洗手台、镜子、挂钩、排风扇等）功能完好、干净整洁，厕所坑位、地面无积水、污物，顶、壁、门、窗洁净明亮，厕所内无异味。（未按规定每次扣0.5分）</w:t>
            </w:r>
          </w:p>
        </w:tc>
        <w:tc>
          <w:tcPr>
            <w:tcW w:w="940" w:type="dxa"/>
            <w:noWrap w:val="0"/>
            <w:vAlign w:val="center"/>
          </w:tcPr>
          <w:p w14:paraId="5C91A775">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6</w:t>
            </w:r>
          </w:p>
        </w:tc>
        <w:tc>
          <w:tcPr>
            <w:tcW w:w="888" w:type="dxa"/>
            <w:noWrap w:val="0"/>
            <w:vAlign w:val="center"/>
          </w:tcPr>
          <w:p w14:paraId="1DA84836">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　</w:t>
            </w:r>
          </w:p>
        </w:tc>
      </w:tr>
      <w:tr w14:paraId="1781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75" w:type="dxa"/>
            <w:vMerge w:val="continue"/>
            <w:noWrap w:val="0"/>
            <w:vAlign w:val="center"/>
          </w:tcPr>
          <w:p w14:paraId="22852F21">
            <w:pPr>
              <w:spacing w:line="360" w:lineRule="exact"/>
              <w:rPr>
                <w:rFonts w:ascii="华文楷体" w:hAnsi="华文楷体" w:eastAsia="华文楷体" w:cs="宋体"/>
                <w:color w:val="000000"/>
              </w:rPr>
            </w:pPr>
          </w:p>
        </w:tc>
        <w:tc>
          <w:tcPr>
            <w:tcW w:w="709" w:type="dxa"/>
            <w:vMerge w:val="restart"/>
            <w:noWrap w:val="0"/>
            <w:vAlign w:val="center"/>
          </w:tcPr>
          <w:p w14:paraId="69F856C5">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作业管理     （15分）</w:t>
            </w:r>
          </w:p>
        </w:tc>
        <w:tc>
          <w:tcPr>
            <w:tcW w:w="5954" w:type="dxa"/>
            <w:noWrap w:val="0"/>
            <w:vAlign w:val="center"/>
          </w:tcPr>
          <w:p w14:paraId="58EC780E">
            <w:pPr>
              <w:spacing w:line="360" w:lineRule="exact"/>
              <w:rPr>
                <w:rFonts w:ascii="华文楷体" w:hAnsi="华文楷体" w:eastAsia="华文楷体" w:cs="宋体"/>
                <w:color w:val="000000"/>
              </w:rPr>
            </w:pPr>
            <w:r>
              <w:rPr>
                <w:rFonts w:hint="eastAsia" w:ascii="华文楷体" w:hAnsi="华文楷体" w:eastAsia="华文楷体" w:cs="宋体"/>
                <w:color w:val="000000"/>
              </w:rPr>
              <w:t>保洁人员应按合同规定配备，无擅自脱岗、闲谈、消极怠工现象。（未按规定每次扣0.5分）</w:t>
            </w:r>
          </w:p>
        </w:tc>
        <w:tc>
          <w:tcPr>
            <w:tcW w:w="940" w:type="dxa"/>
            <w:noWrap w:val="0"/>
            <w:vAlign w:val="center"/>
          </w:tcPr>
          <w:p w14:paraId="094B96B3">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5</w:t>
            </w:r>
          </w:p>
        </w:tc>
        <w:tc>
          <w:tcPr>
            <w:tcW w:w="888" w:type="dxa"/>
            <w:noWrap w:val="0"/>
            <w:vAlign w:val="center"/>
          </w:tcPr>
          <w:p w14:paraId="3F132E8B">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　</w:t>
            </w:r>
          </w:p>
        </w:tc>
      </w:tr>
      <w:tr w14:paraId="27AC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675" w:type="dxa"/>
            <w:vMerge w:val="continue"/>
            <w:noWrap w:val="0"/>
            <w:vAlign w:val="center"/>
          </w:tcPr>
          <w:p w14:paraId="02B5CED6">
            <w:pPr>
              <w:spacing w:line="360" w:lineRule="exact"/>
              <w:rPr>
                <w:rFonts w:ascii="华文楷体" w:hAnsi="华文楷体" w:eastAsia="华文楷体" w:cs="宋体"/>
                <w:color w:val="000000"/>
              </w:rPr>
            </w:pPr>
          </w:p>
        </w:tc>
        <w:tc>
          <w:tcPr>
            <w:tcW w:w="709" w:type="dxa"/>
            <w:vMerge w:val="continue"/>
            <w:noWrap w:val="0"/>
            <w:vAlign w:val="center"/>
          </w:tcPr>
          <w:p w14:paraId="5041FE64">
            <w:pPr>
              <w:spacing w:line="360" w:lineRule="exact"/>
              <w:rPr>
                <w:rFonts w:ascii="华文楷体" w:hAnsi="华文楷体" w:eastAsia="华文楷体" w:cs="宋体"/>
                <w:color w:val="000000"/>
              </w:rPr>
            </w:pPr>
          </w:p>
        </w:tc>
        <w:tc>
          <w:tcPr>
            <w:tcW w:w="5954" w:type="dxa"/>
            <w:noWrap w:val="0"/>
            <w:vAlign w:val="center"/>
          </w:tcPr>
          <w:p w14:paraId="4B7D7922">
            <w:pPr>
              <w:spacing w:line="360" w:lineRule="exact"/>
              <w:rPr>
                <w:rFonts w:ascii="华文楷体" w:hAnsi="华文楷体" w:eastAsia="华文楷体" w:cs="宋体"/>
                <w:color w:val="000000"/>
              </w:rPr>
            </w:pPr>
            <w:r>
              <w:rPr>
                <w:rFonts w:hint="eastAsia" w:ascii="华文楷体" w:hAnsi="华文楷体" w:eastAsia="华文楷体" w:cs="宋体"/>
                <w:color w:val="000000"/>
              </w:rPr>
              <w:t>垃圾应按指定地点倾倒，严禁焚烧垃圾、树叶等，严禁把垃圾扫倒窨井、绿篱内、湖面等。（未按规定每次扣1分）</w:t>
            </w:r>
          </w:p>
        </w:tc>
        <w:tc>
          <w:tcPr>
            <w:tcW w:w="940" w:type="dxa"/>
            <w:noWrap w:val="0"/>
            <w:vAlign w:val="center"/>
          </w:tcPr>
          <w:p w14:paraId="1B01303D">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5</w:t>
            </w:r>
          </w:p>
        </w:tc>
        <w:tc>
          <w:tcPr>
            <w:tcW w:w="888" w:type="dxa"/>
            <w:noWrap w:val="0"/>
            <w:vAlign w:val="center"/>
          </w:tcPr>
          <w:p w14:paraId="2BDD86A6">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29A4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75" w:type="dxa"/>
            <w:vMerge w:val="continue"/>
            <w:noWrap w:val="0"/>
            <w:vAlign w:val="center"/>
          </w:tcPr>
          <w:p w14:paraId="09EC0700">
            <w:pPr>
              <w:spacing w:line="360" w:lineRule="exact"/>
              <w:rPr>
                <w:rFonts w:ascii="华文楷体" w:hAnsi="华文楷体" w:eastAsia="华文楷体" w:cs="宋体"/>
                <w:color w:val="000000"/>
              </w:rPr>
            </w:pPr>
          </w:p>
        </w:tc>
        <w:tc>
          <w:tcPr>
            <w:tcW w:w="709" w:type="dxa"/>
            <w:vMerge w:val="continue"/>
            <w:noWrap w:val="0"/>
            <w:vAlign w:val="center"/>
          </w:tcPr>
          <w:p w14:paraId="4BE0447D">
            <w:pPr>
              <w:spacing w:line="360" w:lineRule="exact"/>
              <w:rPr>
                <w:rFonts w:ascii="华文楷体" w:hAnsi="华文楷体" w:eastAsia="华文楷体" w:cs="宋体"/>
                <w:color w:val="000000"/>
              </w:rPr>
            </w:pPr>
          </w:p>
        </w:tc>
        <w:tc>
          <w:tcPr>
            <w:tcW w:w="5954" w:type="dxa"/>
            <w:noWrap w:val="0"/>
            <w:vAlign w:val="center"/>
          </w:tcPr>
          <w:p w14:paraId="716BD88D">
            <w:pPr>
              <w:spacing w:line="360" w:lineRule="exact"/>
              <w:rPr>
                <w:rFonts w:ascii="华文楷体" w:hAnsi="华文楷体" w:eastAsia="华文楷体" w:cs="宋体"/>
                <w:color w:val="000000"/>
              </w:rPr>
            </w:pPr>
            <w:r>
              <w:rPr>
                <w:rFonts w:hint="eastAsia" w:ascii="华文楷体" w:hAnsi="华文楷体" w:eastAsia="华文楷体" w:cs="宋体"/>
                <w:color w:val="000000"/>
              </w:rPr>
              <w:t>保洁工具应按指定地点摆放整齐，保洁车、保洁船整洁、标识清晰，无吊挂、撒落及滴漏现象。（未按规定每次扣1分）</w:t>
            </w:r>
          </w:p>
        </w:tc>
        <w:tc>
          <w:tcPr>
            <w:tcW w:w="940" w:type="dxa"/>
            <w:noWrap w:val="0"/>
            <w:vAlign w:val="center"/>
          </w:tcPr>
          <w:p w14:paraId="03989E06">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5</w:t>
            </w:r>
          </w:p>
        </w:tc>
        <w:tc>
          <w:tcPr>
            <w:tcW w:w="888" w:type="dxa"/>
            <w:noWrap w:val="0"/>
            <w:vAlign w:val="center"/>
          </w:tcPr>
          <w:p w14:paraId="0959929F">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bl>
    <w:p w14:paraId="7B7F7AF1">
      <w:pPr>
        <w:pStyle w:val="16"/>
        <w:tabs>
          <w:tab w:val="clear" w:pos="851"/>
        </w:tabs>
        <w:rPr>
          <w:rFonts w:ascii="华文楷体" w:hAnsi="华文楷体" w:eastAsia="华文楷体"/>
          <w:color w:val="000000"/>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690"/>
        <w:gridCol w:w="5982"/>
        <w:gridCol w:w="912"/>
        <w:gridCol w:w="912"/>
      </w:tblGrid>
      <w:tr w14:paraId="351E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94" w:type="dxa"/>
            <w:vMerge w:val="restart"/>
            <w:noWrap w:val="0"/>
            <w:textDirection w:val="tbRlV"/>
            <w:vAlign w:val="center"/>
          </w:tcPr>
          <w:p w14:paraId="2FB228A3">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设施设备维护（20分）</w:t>
            </w:r>
          </w:p>
        </w:tc>
        <w:tc>
          <w:tcPr>
            <w:tcW w:w="690" w:type="dxa"/>
            <w:vMerge w:val="restart"/>
            <w:noWrap w:val="0"/>
            <w:textDirection w:val="tbRlV"/>
            <w:vAlign w:val="center"/>
          </w:tcPr>
          <w:p w14:paraId="42E1A410">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设 备 管 理（10分）</w:t>
            </w:r>
          </w:p>
        </w:tc>
        <w:tc>
          <w:tcPr>
            <w:tcW w:w="5982" w:type="dxa"/>
            <w:noWrap w:val="0"/>
            <w:vAlign w:val="center"/>
          </w:tcPr>
          <w:p w14:paraId="40097D98">
            <w:pPr>
              <w:spacing w:line="360" w:lineRule="exact"/>
              <w:rPr>
                <w:rFonts w:ascii="华文楷体" w:hAnsi="华文楷体" w:eastAsia="华文楷体" w:cs="宋体"/>
                <w:color w:val="000000"/>
              </w:rPr>
            </w:pPr>
            <w:r>
              <w:rPr>
                <w:rFonts w:hint="eastAsia" w:ascii="华文楷体" w:hAnsi="华文楷体" w:eastAsia="华文楷体" w:cs="宋体"/>
                <w:color w:val="000000"/>
              </w:rPr>
              <w:t>制订各类设备的操作规程，安全注意事项。（未按规定每次扣0.3分）</w:t>
            </w:r>
          </w:p>
        </w:tc>
        <w:tc>
          <w:tcPr>
            <w:tcW w:w="912" w:type="dxa"/>
            <w:noWrap w:val="0"/>
            <w:vAlign w:val="center"/>
          </w:tcPr>
          <w:p w14:paraId="25DDCF84">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1</w:t>
            </w:r>
          </w:p>
        </w:tc>
        <w:tc>
          <w:tcPr>
            <w:tcW w:w="912" w:type="dxa"/>
            <w:noWrap w:val="0"/>
            <w:textDirection w:val="tbRlV"/>
            <w:vAlign w:val="center"/>
          </w:tcPr>
          <w:p w14:paraId="5419E257">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67AD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4" w:type="dxa"/>
            <w:vMerge w:val="continue"/>
            <w:noWrap w:val="0"/>
            <w:vAlign w:val="center"/>
          </w:tcPr>
          <w:p w14:paraId="49B3C645">
            <w:pPr>
              <w:spacing w:line="360" w:lineRule="exact"/>
              <w:rPr>
                <w:rFonts w:ascii="华文楷体" w:hAnsi="华文楷体" w:eastAsia="华文楷体" w:cs="宋体"/>
                <w:color w:val="000000"/>
              </w:rPr>
            </w:pPr>
          </w:p>
        </w:tc>
        <w:tc>
          <w:tcPr>
            <w:tcW w:w="690" w:type="dxa"/>
            <w:vMerge w:val="continue"/>
            <w:noWrap w:val="0"/>
            <w:vAlign w:val="center"/>
          </w:tcPr>
          <w:p w14:paraId="3621E0C3">
            <w:pPr>
              <w:spacing w:line="360" w:lineRule="exact"/>
              <w:rPr>
                <w:rFonts w:ascii="华文楷体" w:hAnsi="华文楷体" w:eastAsia="华文楷体" w:cs="宋体"/>
                <w:color w:val="000000"/>
              </w:rPr>
            </w:pPr>
          </w:p>
        </w:tc>
        <w:tc>
          <w:tcPr>
            <w:tcW w:w="5982" w:type="dxa"/>
            <w:noWrap w:val="0"/>
            <w:vAlign w:val="center"/>
          </w:tcPr>
          <w:p w14:paraId="596E7046">
            <w:pPr>
              <w:spacing w:line="360" w:lineRule="exact"/>
              <w:rPr>
                <w:rFonts w:ascii="华文楷体" w:hAnsi="华文楷体" w:eastAsia="华文楷体" w:cs="宋体"/>
                <w:color w:val="000000"/>
              </w:rPr>
            </w:pPr>
            <w:r>
              <w:rPr>
                <w:rFonts w:hint="eastAsia" w:ascii="华文楷体" w:hAnsi="华文楷体" w:eastAsia="华文楷体" w:cs="宋体"/>
                <w:color w:val="000000"/>
              </w:rPr>
              <w:t>做好各类设备运行、巡查、维护、保养记录。（未按规定每次扣0.5分）</w:t>
            </w:r>
          </w:p>
        </w:tc>
        <w:tc>
          <w:tcPr>
            <w:tcW w:w="912" w:type="dxa"/>
            <w:noWrap w:val="0"/>
            <w:vAlign w:val="center"/>
          </w:tcPr>
          <w:p w14:paraId="0C0AF2B6">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2</w:t>
            </w:r>
          </w:p>
        </w:tc>
        <w:tc>
          <w:tcPr>
            <w:tcW w:w="912" w:type="dxa"/>
            <w:noWrap w:val="0"/>
            <w:textDirection w:val="tbRlV"/>
            <w:vAlign w:val="center"/>
          </w:tcPr>
          <w:p w14:paraId="1873F211">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137C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94" w:type="dxa"/>
            <w:vMerge w:val="continue"/>
            <w:noWrap w:val="0"/>
            <w:vAlign w:val="center"/>
          </w:tcPr>
          <w:p w14:paraId="1EC052B1">
            <w:pPr>
              <w:spacing w:line="360" w:lineRule="exact"/>
              <w:rPr>
                <w:rFonts w:ascii="华文楷体" w:hAnsi="华文楷体" w:eastAsia="华文楷体" w:cs="宋体"/>
                <w:color w:val="000000"/>
              </w:rPr>
            </w:pPr>
          </w:p>
        </w:tc>
        <w:tc>
          <w:tcPr>
            <w:tcW w:w="690" w:type="dxa"/>
            <w:vMerge w:val="continue"/>
            <w:noWrap w:val="0"/>
            <w:vAlign w:val="center"/>
          </w:tcPr>
          <w:p w14:paraId="4D8ED25A">
            <w:pPr>
              <w:spacing w:line="360" w:lineRule="exact"/>
              <w:rPr>
                <w:rFonts w:ascii="华文楷体" w:hAnsi="华文楷体" w:eastAsia="华文楷体" w:cs="宋体"/>
                <w:color w:val="000000"/>
              </w:rPr>
            </w:pPr>
          </w:p>
        </w:tc>
        <w:tc>
          <w:tcPr>
            <w:tcW w:w="5982" w:type="dxa"/>
            <w:noWrap w:val="0"/>
            <w:vAlign w:val="center"/>
          </w:tcPr>
          <w:p w14:paraId="385D3C49">
            <w:pPr>
              <w:spacing w:line="360" w:lineRule="exact"/>
              <w:rPr>
                <w:rFonts w:ascii="华文楷体" w:hAnsi="华文楷体" w:eastAsia="华文楷体" w:cs="宋体"/>
                <w:color w:val="000000"/>
              </w:rPr>
            </w:pPr>
            <w:r>
              <w:rPr>
                <w:rFonts w:hint="eastAsia" w:ascii="华文楷体" w:hAnsi="华文楷体" w:eastAsia="华文楷体" w:cs="宋体"/>
                <w:color w:val="000000"/>
              </w:rPr>
              <w:t>做好设备日常清洁、润滑养护及工作用房的清洁卫生、无积尘。（未按规定每次扣0.5分）</w:t>
            </w:r>
          </w:p>
        </w:tc>
        <w:tc>
          <w:tcPr>
            <w:tcW w:w="912" w:type="dxa"/>
            <w:noWrap w:val="0"/>
            <w:vAlign w:val="center"/>
          </w:tcPr>
          <w:p w14:paraId="5A225B0D">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2</w:t>
            </w:r>
          </w:p>
        </w:tc>
        <w:tc>
          <w:tcPr>
            <w:tcW w:w="912" w:type="dxa"/>
            <w:noWrap w:val="0"/>
            <w:textDirection w:val="tbRlV"/>
            <w:vAlign w:val="center"/>
          </w:tcPr>
          <w:p w14:paraId="275529B1">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62B3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694" w:type="dxa"/>
            <w:vMerge w:val="continue"/>
            <w:noWrap w:val="0"/>
            <w:vAlign w:val="center"/>
          </w:tcPr>
          <w:p w14:paraId="5A65C773">
            <w:pPr>
              <w:spacing w:line="360" w:lineRule="exact"/>
              <w:rPr>
                <w:rFonts w:ascii="华文楷体" w:hAnsi="华文楷体" w:eastAsia="华文楷体" w:cs="宋体"/>
                <w:color w:val="000000"/>
              </w:rPr>
            </w:pPr>
          </w:p>
        </w:tc>
        <w:tc>
          <w:tcPr>
            <w:tcW w:w="690" w:type="dxa"/>
            <w:vMerge w:val="continue"/>
            <w:noWrap w:val="0"/>
            <w:vAlign w:val="center"/>
          </w:tcPr>
          <w:p w14:paraId="1ED9A3BC">
            <w:pPr>
              <w:spacing w:line="360" w:lineRule="exact"/>
              <w:rPr>
                <w:rFonts w:ascii="华文楷体" w:hAnsi="华文楷体" w:eastAsia="华文楷体" w:cs="宋体"/>
                <w:color w:val="000000"/>
              </w:rPr>
            </w:pPr>
          </w:p>
        </w:tc>
        <w:tc>
          <w:tcPr>
            <w:tcW w:w="5982" w:type="dxa"/>
            <w:noWrap w:val="0"/>
            <w:vAlign w:val="center"/>
          </w:tcPr>
          <w:p w14:paraId="6B6D8006">
            <w:pPr>
              <w:spacing w:line="360" w:lineRule="exact"/>
              <w:rPr>
                <w:rFonts w:ascii="华文楷体" w:hAnsi="华文楷体" w:eastAsia="华文楷体" w:cs="宋体"/>
                <w:color w:val="000000"/>
              </w:rPr>
            </w:pPr>
            <w:r>
              <w:rPr>
                <w:rFonts w:hint="eastAsia" w:ascii="华文楷体" w:hAnsi="华文楷体" w:eastAsia="华文楷体" w:cs="宋体"/>
                <w:color w:val="000000"/>
              </w:rPr>
              <w:t>设备出现故障及时维修，故障设备有待修标记及维修记录。（未按规定每次扣0.2分）</w:t>
            </w:r>
          </w:p>
        </w:tc>
        <w:tc>
          <w:tcPr>
            <w:tcW w:w="912" w:type="dxa"/>
            <w:noWrap w:val="0"/>
            <w:vAlign w:val="center"/>
          </w:tcPr>
          <w:p w14:paraId="0B9C9C18">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1</w:t>
            </w:r>
          </w:p>
        </w:tc>
        <w:tc>
          <w:tcPr>
            <w:tcW w:w="912" w:type="dxa"/>
            <w:noWrap w:val="0"/>
            <w:textDirection w:val="tbRlV"/>
            <w:vAlign w:val="center"/>
          </w:tcPr>
          <w:p w14:paraId="220072EE">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69FE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94" w:type="dxa"/>
            <w:vMerge w:val="continue"/>
            <w:noWrap w:val="0"/>
            <w:vAlign w:val="center"/>
          </w:tcPr>
          <w:p w14:paraId="791B5191">
            <w:pPr>
              <w:spacing w:line="360" w:lineRule="exact"/>
              <w:rPr>
                <w:rFonts w:ascii="华文楷体" w:hAnsi="华文楷体" w:eastAsia="华文楷体" w:cs="宋体"/>
                <w:color w:val="000000"/>
              </w:rPr>
            </w:pPr>
          </w:p>
        </w:tc>
        <w:tc>
          <w:tcPr>
            <w:tcW w:w="690" w:type="dxa"/>
            <w:vMerge w:val="continue"/>
            <w:noWrap w:val="0"/>
            <w:vAlign w:val="center"/>
          </w:tcPr>
          <w:p w14:paraId="7BF9EDB7">
            <w:pPr>
              <w:spacing w:line="360" w:lineRule="exact"/>
              <w:rPr>
                <w:rFonts w:ascii="华文楷体" w:hAnsi="华文楷体" w:eastAsia="华文楷体" w:cs="宋体"/>
                <w:color w:val="000000"/>
              </w:rPr>
            </w:pPr>
          </w:p>
        </w:tc>
        <w:tc>
          <w:tcPr>
            <w:tcW w:w="5982" w:type="dxa"/>
            <w:noWrap w:val="0"/>
            <w:vAlign w:val="center"/>
          </w:tcPr>
          <w:p w14:paraId="2E095980">
            <w:pPr>
              <w:spacing w:line="360" w:lineRule="exact"/>
              <w:rPr>
                <w:rFonts w:ascii="华文楷体" w:hAnsi="华文楷体" w:eastAsia="华文楷体" w:cs="宋体"/>
                <w:color w:val="000000"/>
              </w:rPr>
            </w:pPr>
            <w:r>
              <w:rPr>
                <w:rFonts w:hint="eastAsia" w:ascii="华文楷体" w:hAnsi="华文楷体" w:eastAsia="华文楷体" w:cs="宋体"/>
                <w:color w:val="000000"/>
              </w:rPr>
              <w:t>突发情况（如突然断电、台风等）有设备应急故障处理措施。（未按规定每次扣0.5分）</w:t>
            </w:r>
          </w:p>
        </w:tc>
        <w:tc>
          <w:tcPr>
            <w:tcW w:w="912" w:type="dxa"/>
            <w:noWrap w:val="0"/>
            <w:vAlign w:val="center"/>
          </w:tcPr>
          <w:p w14:paraId="58FAC882">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1</w:t>
            </w:r>
          </w:p>
        </w:tc>
        <w:tc>
          <w:tcPr>
            <w:tcW w:w="912" w:type="dxa"/>
            <w:noWrap w:val="0"/>
            <w:textDirection w:val="tbRlV"/>
            <w:vAlign w:val="center"/>
          </w:tcPr>
          <w:p w14:paraId="79D7E657">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64A5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694" w:type="dxa"/>
            <w:vMerge w:val="continue"/>
            <w:noWrap w:val="0"/>
            <w:vAlign w:val="center"/>
          </w:tcPr>
          <w:p w14:paraId="7B9E5F71">
            <w:pPr>
              <w:spacing w:line="360" w:lineRule="exact"/>
              <w:rPr>
                <w:rFonts w:ascii="华文楷体" w:hAnsi="华文楷体" w:eastAsia="华文楷体" w:cs="宋体"/>
                <w:color w:val="000000"/>
              </w:rPr>
            </w:pPr>
          </w:p>
        </w:tc>
        <w:tc>
          <w:tcPr>
            <w:tcW w:w="690" w:type="dxa"/>
            <w:vMerge w:val="continue"/>
            <w:noWrap w:val="0"/>
            <w:vAlign w:val="center"/>
          </w:tcPr>
          <w:p w14:paraId="68415B26">
            <w:pPr>
              <w:spacing w:line="360" w:lineRule="exact"/>
              <w:rPr>
                <w:rFonts w:ascii="华文楷体" w:hAnsi="华文楷体" w:eastAsia="华文楷体" w:cs="宋体"/>
                <w:color w:val="000000"/>
              </w:rPr>
            </w:pPr>
          </w:p>
        </w:tc>
        <w:tc>
          <w:tcPr>
            <w:tcW w:w="5982" w:type="dxa"/>
            <w:noWrap w:val="0"/>
            <w:vAlign w:val="center"/>
          </w:tcPr>
          <w:p w14:paraId="0EF7EE76">
            <w:pPr>
              <w:spacing w:line="360" w:lineRule="exact"/>
              <w:rPr>
                <w:rFonts w:hint="eastAsia"/>
              </w:rPr>
            </w:pPr>
            <w:r>
              <w:rPr>
                <w:rFonts w:hint="eastAsia" w:ascii="华文楷体" w:hAnsi="华文楷体" w:eastAsia="华文楷体" w:cs="宋体"/>
                <w:color w:val="000000"/>
              </w:rPr>
              <w:t>水电在规定的时间内开关，节约能源。（未按规定每次扣0.5分）</w:t>
            </w:r>
          </w:p>
        </w:tc>
        <w:tc>
          <w:tcPr>
            <w:tcW w:w="912" w:type="dxa"/>
            <w:noWrap w:val="0"/>
            <w:vAlign w:val="center"/>
          </w:tcPr>
          <w:p w14:paraId="135ACF26">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3</w:t>
            </w:r>
          </w:p>
        </w:tc>
        <w:tc>
          <w:tcPr>
            <w:tcW w:w="912" w:type="dxa"/>
            <w:noWrap w:val="0"/>
            <w:textDirection w:val="tbRlV"/>
            <w:vAlign w:val="center"/>
          </w:tcPr>
          <w:p w14:paraId="62F0C267">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　</w:t>
            </w:r>
          </w:p>
        </w:tc>
      </w:tr>
      <w:tr w14:paraId="2FE6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694" w:type="dxa"/>
            <w:vMerge w:val="continue"/>
            <w:noWrap w:val="0"/>
            <w:vAlign w:val="center"/>
          </w:tcPr>
          <w:p w14:paraId="786219D0">
            <w:pPr>
              <w:spacing w:line="360" w:lineRule="exact"/>
              <w:rPr>
                <w:rFonts w:ascii="华文楷体" w:hAnsi="华文楷体" w:eastAsia="华文楷体" w:cs="宋体"/>
                <w:color w:val="000000"/>
              </w:rPr>
            </w:pPr>
          </w:p>
        </w:tc>
        <w:tc>
          <w:tcPr>
            <w:tcW w:w="690" w:type="dxa"/>
            <w:vMerge w:val="restart"/>
            <w:noWrap w:val="0"/>
            <w:textDirection w:val="tbRlV"/>
            <w:vAlign w:val="center"/>
          </w:tcPr>
          <w:p w14:paraId="06A354F0">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 xml:space="preserve">  设 施 管 理（10分） </w:t>
            </w:r>
          </w:p>
        </w:tc>
        <w:tc>
          <w:tcPr>
            <w:tcW w:w="5982" w:type="dxa"/>
            <w:noWrap w:val="0"/>
            <w:vAlign w:val="center"/>
          </w:tcPr>
          <w:p w14:paraId="42E82437">
            <w:pPr>
              <w:spacing w:line="360" w:lineRule="exact"/>
              <w:rPr>
                <w:rFonts w:ascii="华文楷体" w:hAnsi="华文楷体" w:eastAsia="华文楷体" w:cs="宋体"/>
                <w:color w:val="000000"/>
              </w:rPr>
            </w:pPr>
            <w:r>
              <w:rPr>
                <w:rFonts w:hint="eastAsia" w:ascii="华文楷体" w:hAnsi="华文楷体" w:eastAsia="华文楷体" w:cs="宋体"/>
                <w:color w:val="000000"/>
              </w:rPr>
              <w:t>每日进行全面巡逻，确保公共配套设施完整、功能完好(厕所、健身器材、游乐设施、垃圾箱、标志牌、桌椅、路灯等 )  ，一旦发现问题及时组织维修。（未按规定每次扣0.5分）</w:t>
            </w:r>
          </w:p>
        </w:tc>
        <w:tc>
          <w:tcPr>
            <w:tcW w:w="912" w:type="dxa"/>
            <w:noWrap w:val="0"/>
            <w:vAlign w:val="center"/>
          </w:tcPr>
          <w:p w14:paraId="6888A268">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2</w:t>
            </w:r>
          </w:p>
        </w:tc>
        <w:tc>
          <w:tcPr>
            <w:tcW w:w="912" w:type="dxa"/>
            <w:noWrap w:val="0"/>
            <w:vAlign w:val="center"/>
          </w:tcPr>
          <w:p w14:paraId="6CA2C9C1">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59D7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694" w:type="dxa"/>
            <w:vMerge w:val="continue"/>
            <w:noWrap w:val="0"/>
            <w:vAlign w:val="center"/>
          </w:tcPr>
          <w:p w14:paraId="7EF73851">
            <w:pPr>
              <w:spacing w:line="360" w:lineRule="exact"/>
              <w:rPr>
                <w:rFonts w:ascii="华文楷体" w:hAnsi="华文楷体" w:eastAsia="华文楷体" w:cs="宋体"/>
                <w:color w:val="000000"/>
              </w:rPr>
            </w:pPr>
          </w:p>
        </w:tc>
        <w:tc>
          <w:tcPr>
            <w:tcW w:w="690" w:type="dxa"/>
            <w:vMerge w:val="continue"/>
            <w:noWrap w:val="0"/>
            <w:vAlign w:val="center"/>
          </w:tcPr>
          <w:p w14:paraId="5583D54E">
            <w:pPr>
              <w:spacing w:line="360" w:lineRule="exact"/>
              <w:rPr>
                <w:rFonts w:ascii="华文楷体" w:hAnsi="华文楷体" w:eastAsia="华文楷体" w:cs="宋体"/>
                <w:color w:val="000000"/>
              </w:rPr>
            </w:pPr>
          </w:p>
        </w:tc>
        <w:tc>
          <w:tcPr>
            <w:tcW w:w="5982" w:type="dxa"/>
            <w:noWrap w:val="0"/>
            <w:vAlign w:val="center"/>
          </w:tcPr>
          <w:p w14:paraId="3944FE1C">
            <w:pPr>
              <w:spacing w:line="360" w:lineRule="exact"/>
              <w:rPr>
                <w:rFonts w:ascii="华文楷体" w:hAnsi="华文楷体" w:eastAsia="华文楷体" w:cs="宋体"/>
                <w:color w:val="000000"/>
              </w:rPr>
            </w:pPr>
            <w:r>
              <w:rPr>
                <w:rFonts w:hint="eastAsia" w:ascii="华文楷体" w:hAnsi="华文楷体" w:eastAsia="华文楷体" w:cs="宋体"/>
                <w:color w:val="000000"/>
              </w:rPr>
              <w:t>建筑物及构筑物结构牢固安全、构件完整、美观，一旦发现问题及时进行维修。（未按规定每次扣0.5分）</w:t>
            </w:r>
          </w:p>
        </w:tc>
        <w:tc>
          <w:tcPr>
            <w:tcW w:w="912" w:type="dxa"/>
            <w:noWrap w:val="0"/>
            <w:vAlign w:val="center"/>
          </w:tcPr>
          <w:p w14:paraId="7A99895B">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3</w:t>
            </w:r>
          </w:p>
        </w:tc>
        <w:tc>
          <w:tcPr>
            <w:tcW w:w="912" w:type="dxa"/>
            <w:noWrap w:val="0"/>
            <w:vAlign w:val="center"/>
          </w:tcPr>
          <w:p w14:paraId="62D81769">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681D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694" w:type="dxa"/>
            <w:vMerge w:val="continue"/>
            <w:noWrap w:val="0"/>
            <w:vAlign w:val="center"/>
          </w:tcPr>
          <w:p w14:paraId="084D773A">
            <w:pPr>
              <w:spacing w:line="360" w:lineRule="exact"/>
              <w:rPr>
                <w:rFonts w:ascii="华文楷体" w:hAnsi="华文楷体" w:eastAsia="华文楷体" w:cs="宋体"/>
                <w:color w:val="000000"/>
              </w:rPr>
            </w:pPr>
          </w:p>
        </w:tc>
        <w:tc>
          <w:tcPr>
            <w:tcW w:w="690" w:type="dxa"/>
            <w:vMerge w:val="continue"/>
            <w:noWrap w:val="0"/>
            <w:vAlign w:val="center"/>
          </w:tcPr>
          <w:p w14:paraId="313244B7">
            <w:pPr>
              <w:spacing w:line="360" w:lineRule="exact"/>
              <w:rPr>
                <w:rFonts w:ascii="华文楷体" w:hAnsi="华文楷体" w:eastAsia="华文楷体" w:cs="宋体"/>
                <w:color w:val="000000"/>
              </w:rPr>
            </w:pPr>
          </w:p>
        </w:tc>
        <w:tc>
          <w:tcPr>
            <w:tcW w:w="5982" w:type="dxa"/>
            <w:noWrap w:val="0"/>
            <w:vAlign w:val="center"/>
          </w:tcPr>
          <w:p w14:paraId="7A294BC4">
            <w:pPr>
              <w:spacing w:line="360" w:lineRule="exact"/>
              <w:rPr>
                <w:rFonts w:ascii="华文楷体" w:hAnsi="华文楷体" w:eastAsia="华文楷体" w:cs="宋体"/>
                <w:color w:val="000000"/>
              </w:rPr>
            </w:pPr>
            <w:r>
              <w:rPr>
                <w:rFonts w:hint="eastAsia" w:ascii="华文楷体" w:hAnsi="华文楷体" w:eastAsia="华文楷体" w:cs="宋体"/>
                <w:color w:val="000000"/>
              </w:rPr>
              <w:t>园路、铺装表面平整，无缺损，无明显松动，无大面积积水。（未按规定每次扣0.5分）</w:t>
            </w:r>
          </w:p>
        </w:tc>
        <w:tc>
          <w:tcPr>
            <w:tcW w:w="912" w:type="dxa"/>
            <w:noWrap w:val="0"/>
            <w:vAlign w:val="center"/>
          </w:tcPr>
          <w:p w14:paraId="3186504B">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2</w:t>
            </w:r>
          </w:p>
        </w:tc>
        <w:tc>
          <w:tcPr>
            <w:tcW w:w="912" w:type="dxa"/>
            <w:noWrap w:val="0"/>
            <w:vAlign w:val="center"/>
          </w:tcPr>
          <w:p w14:paraId="7E0520E2">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r w14:paraId="6080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694" w:type="dxa"/>
            <w:vMerge w:val="continue"/>
            <w:noWrap w:val="0"/>
            <w:vAlign w:val="center"/>
          </w:tcPr>
          <w:p w14:paraId="277EFBDF">
            <w:pPr>
              <w:spacing w:line="360" w:lineRule="exact"/>
              <w:rPr>
                <w:rFonts w:ascii="华文楷体" w:hAnsi="华文楷体" w:eastAsia="华文楷体" w:cs="宋体"/>
                <w:color w:val="000000"/>
              </w:rPr>
            </w:pPr>
          </w:p>
        </w:tc>
        <w:tc>
          <w:tcPr>
            <w:tcW w:w="690" w:type="dxa"/>
            <w:vMerge w:val="continue"/>
            <w:noWrap w:val="0"/>
            <w:vAlign w:val="center"/>
          </w:tcPr>
          <w:p w14:paraId="70AF12A2">
            <w:pPr>
              <w:spacing w:line="360" w:lineRule="exact"/>
              <w:rPr>
                <w:rFonts w:ascii="华文楷体" w:hAnsi="华文楷体" w:eastAsia="华文楷体" w:cs="宋体"/>
                <w:color w:val="000000"/>
              </w:rPr>
            </w:pPr>
          </w:p>
        </w:tc>
        <w:tc>
          <w:tcPr>
            <w:tcW w:w="5982" w:type="dxa"/>
            <w:noWrap w:val="0"/>
            <w:vAlign w:val="center"/>
          </w:tcPr>
          <w:p w14:paraId="7F66D134">
            <w:pPr>
              <w:spacing w:line="360" w:lineRule="exact"/>
              <w:rPr>
                <w:rFonts w:ascii="华文楷体" w:hAnsi="华文楷体" w:eastAsia="华文楷体" w:cs="宋体"/>
                <w:color w:val="000000"/>
              </w:rPr>
            </w:pPr>
            <w:r>
              <w:rPr>
                <w:rFonts w:hint="eastAsia" w:ascii="华文楷体" w:hAnsi="华文楷体" w:eastAsia="华文楷体" w:cs="宋体"/>
                <w:color w:val="000000"/>
              </w:rPr>
              <w:t>及时提交油漆方案，对钢铁、木质构架、设施检查保养确保设施美观，延长使用寿命。（未按规定每次扣0.5分）</w:t>
            </w:r>
          </w:p>
        </w:tc>
        <w:tc>
          <w:tcPr>
            <w:tcW w:w="912" w:type="dxa"/>
            <w:noWrap w:val="0"/>
            <w:vAlign w:val="center"/>
          </w:tcPr>
          <w:p w14:paraId="6B720F4B">
            <w:pPr>
              <w:spacing w:line="360" w:lineRule="exact"/>
              <w:jc w:val="center"/>
              <w:rPr>
                <w:rFonts w:ascii="华文楷体" w:hAnsi="华文楷体" w:eastAsia="华文楷体" w:cs="宋体"/>
                <w:color w:val="000000"/>
              </w:rPr>
            </w:pPr>
            <w:r>
              <w:rPr>
                <w:rFonts w:hint="eastAsia" w:ascii="华文楷体" w:hAnsi="华文楷体" w:eastAsia="华文楷体" w:cs="宋体"/>
                <w:color w:val="000000"/>
              </w:rPr>
              <w:t>2</w:t>
            </w:r>
          </w:p>
        </w:tc>
        <w:tc>
          <w:tcPr>
            <w:tcW w:w="912" w:type="dxa"/>
            <w:noWrap w:val="0"/>
            <w:vAlign w:val="center"/>
          </w:tcPr>
          <w:p w14:paraId="3A20EC40">
            <w:pPr>
              <w:spacing w:line="360" w:lineRule="exact"/>
              <w:rPr>
                <w:rFonts w:ascii="华文楷体" w:hAnsi="华文楷体" w:eastAsia="华文楷体" w:cs="宋体"/>
                <w:color w:val="000000"/>
              </w:rPr>
            </w:pPr>
            <w:r>
              <w:rPr>
                <w:rFonts w:hint="eastAsia" w:ascii="华文楷体" w:hAnsi="华文楷体" w:eastAsia="华文楷体" w:cs="宋体"/>
                <w:color w:val="000000"/>
              </w:rPr>
              <w:t>　</w:t>
            </w:r>
          </w:p>
        </w:tc>
      </w:tr>
    </w:tbl>
    <w:p w14:paraId="44441A70">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6F696B42">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ascii="仿宋_GB2312" w:hAnsi="仿宋_GB2312" w:eastAsia="仿宋_GB2312" w:cs="仿宋_GB2312"/>
          <w:sz w:val="32"/>
          <w:szCs w:val="32"/>
        </w:rPr>
        <w:t>附件二：</w:t>
      </w:r>
      <w:r>
        <w:rPr>
          <w:rFonts w:ascii="仿宋_GB2312" w:hAnsi="仿宋_GB2312" w:eastAsia="仿宋_GB2312" w:cs="仿宋_GB2312"/>
          <w:sz w:val="32"/>
          <w:szCs w:val="32"/>
        </w:rPr>
        <w:drawing>
          <wp:inline distT="0" distB="0" distL="114300" distR="114300">
            <wp:extent cx="5303520" cy="1516380"/>
            <wp:effectExtent l="0" t="0" r="1143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303520" cy="1516380"/>
                    </a:xfrm>
                    <a:prstGeom prst="rect">
                      <a:avLst/>
                    </a:prstGeom>
                    <a:noFill/>
                    <a:ln>
                      <a:noFill/>
                    </a:ln>
                  </pic:spPr>
                </pic:pic>
              </a:graphicData>
            </a:graphic>
          </wp:inline>
        </w:drawing>
      </w:r>
    </w:p>
    <w:p w14:paraId="0D430502">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position w:val="-244"/>
        </w:rPr>
        <w:drawing>
          <wp:anchor distT="0" distB="0" distL="114300" distR="114300" simplePos="0" relativeHeight="251659264" behindDoc="1" locked="0" layoutInCell="1" allowOverlap="1">
            <wp:simplePos x="0" y="0"/>
            <wp:positionH relativeFrom="column">
              <wp:posOffset>-147320</wp:posOffset>
            </wp:positionH>
            <wp:positionV relativeFrom="paragraph">
              <wp:posOffset>564515</wp:posOffset>
            </wp:positionV>
            <wp:extent cx="7633970" cy="2788920"/>
            <wp:effectExtent l="0" t="0" r="5080" b="11430"/>
            <wp:wrapNone/>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7"/>
                    <a:stretch>
                      <a:fillRect/>
                    </a:stretch>
                  </pic:blipFill>
                  <pic:spPr>
                    <a:xfrm>
                      <a:off x="0" y="0"/>
                      <a:ext cx="7633970" cy="2788920"/>
                    </a:xfrm>
                    <a:prstGeom prst="rect">
                      <a:avLst/>
                    </a:prstGeom>
                    <a:noFill/>
                    <a:ln>
                      <a:noFill/>
                    </a:ln>
                  </pic:spPr>
                </pic:pic>
              </a:graphicData>
            </a:graphic>
          </wp:anchor>
        </w:drawing>
      </w: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三</w:t>
      </w:r>
      <w:r>
        <w:rPr>
          <w:rFonts w:hint="eastAsia" w:ascii="仿宋_GB2312" w:hAnsi="仿宋_GB2312" w:eastAsia="仿宋_GB2312" w:cs="仿宋_GB2312"/>
          <w:sz w:val="32"/>
          <w:szCs w:val="32"/>
        </w:rPr>
        <w:t>：</w:t>
      </w:r>
    </w:p>
    <w:p w14:paraId="145922C2">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7B25D0B7">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22B0C110">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10FF0D66"/>
    <w:sectPr>
      <w:footerReference r:id="rId3" w:type="default"/>
      <w:footerReference r:id="rId4" w:type="even"/>
      <w:pgSz w:w="11906" w:h="16838"/>
      <w:pgMar w:top="1440" w:right="1474" w:bottom="1440"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566B3C-5F42-46B3-8C32-B727E442F7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A5ACA8E-F547-470A-8008-42D328FEA0F4}"/>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3" w:fontKey="{AC7BFF9D-7150-4BCA-9415-4D4B7869078B}"/>
  </w:font>
  <w:font w:name="华文楷体">
    <w:panose1 w:val="02010600040101010101"/>
    <w:charset w:val="86"/>
    <w:family w:val="auto"/>
    <w:pitch w:val="default"/>
    <w:sig w:usb0="00000287" w:usb1="080F0000" w:usb2="00000000" w:usb3="00000000" w:csb0="0004009F" w:csb1="DFD70000"/>
    <w:embedRegular r:id="rId4" w:fontKey="{A4B2B973-A01F-42D8-95BC-C1E96789FA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6F094">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20</w:t>
    </w:r>
    <w:r>
      <w:rPr>
        <w:rStyle w:val="10"/>
      </w:rPr>
      <w:fldChar w:fldCharType="end"/>
    </w:r>
  </w:p>
  <w:p w14:paraId="1F82389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0D1F6">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6F954C5D">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AD7827"/>
    <w:multiLevelType w:val="singleLevel"/>
    <w:tmpl w:val="2CAD7827"/>
    <w:lvl w:ilvl="0" w:tentative="0">
      <w:start w:val="1"/>
      <w:numFmt w:val="decimal"/>
      <w:suff w:val="nothing"/>
      <w:lvlText w:val="%1、"/>
      <w:lvlJc w:val="left"/>
    </w:lvl>
  </w:abstractNum>
  <w:abstractNum w:abstractNumId="1">
    <w:nsid w:val="784C1713"/>
    <w:multiLevelType w:val="singleLevel"/>
    <w:tmpl w:val="784C171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D91EDB"/>
    <w:rsid w:val="023D46EC"/>
    <w:rsid w:val="04502AFF"/>
    <w:rsid w:val="053D3E77"/>
    <w:rsid w:val="06115025"/>
    <w:rsid w:val="078C6EA6"/>
    <w:rsid w:val="07CB4548"/>
    <w:rsid w:val="086F75C9"/>
    <w:rsid w:val="0C0D512F"/>
    <w:rsid w:val="0EF333FC"/>
    <w:rsid w:val="0F2F3C44"/>
    <w:rsid w:val="11005262"/>
    <w:rsid w:val="11BF6ECB"/>
    <w:rsid w:val="12B96010"/>
    <w:rsid w:val="15826B8D"/>
    <w:rsid w:val="15EC3809"/>
    <w:rsid w:val="18910E95"/>
    <w:rsid w:val="19153875"/>
    <w:rsid w:val="1C085913"/>
    <w:rsid w:val="1C7B4336"/>
    <w:rsid w:val="1CBF4223"/>
    <w:rsid w:val="1DC8538F"/>
    <w:rsid w:val="2564005E"/>
    <w:rsid w:val="26920BFA"/>
    <w:rsid w:val="2BBD4024"/>
    <w:rsid w:val="2BE94E19"/>
    <w:rsid w:val="2DE53D06"/>
    <w:rsid w:val="2E3D58F0"/>
    <w:rsid w:val="31466869"/>
    <w:rsid w:val="32621481"/>
    <w:rsid w:val="32650F71"/>
    <w:rsid w:val="33527747"/>
    <w:rsid w:val="336F654B"/>
    <w:rsid w:val="35A4508E"/>
    <w:rsid w:val="37342474"/>
    <w:rsid w:val="376C4B50"/>
    <w:rsid w:val="37841E99"/>
    <w:rsid w:val="37EE37B7"/>
    <w:rsid w:val="381551E7"/>
    <w:rsid w:val="38851CE3"/>
    <w:rsid w:val="38CA7D80"/>
    <w:rsid w:val="39495149"/>
    <w:rsid w:val="3A8F1281"/>
    <w:rsid w:val="3AE96BE3"/>
    <w:rsid w:val="3B1479D8"/>
    <w:rsid w:val="3B53405D"/>
    <w:rsid w:val="3D6C7895"/>
    <w:rsid w:val="3DF064DB"/>
    <w:rsid w:val="3F782104"/>
    <w:rsid w:val="3F792C31"/>
    <w:rsid w:val="40DA6FCE"/>
    <w:rsid w:val="41DF4BEC"/>
    <w:rsid w:val="43711E6C"/>
    <w:rsid w:val="457C263C"/>
    <w:rsid w:val="461E0BEE"/>
    <w:rsid w:val="47503B46"/>
    <w:rsid w:val="482D08BE"/>
    <w:rsid w:val="48FD5F50"/>
    <w:rsid w:val="4C59524B"/>
    <w:rsid w:val="4EAD187E"/>
    <w:rsid w:val="50770912"/>
    <w:rsid w:val="50882C53"/>
    <w:rsid w:val="514C537E"/>
    <w:rsid w:val="52D00823"/>
    <w:rsid w:val="532742F5"/>
    <w:rsid w:val="568A7075"/>
    <w:rsid w:val="5B370E4D"/>
    <w:rsid w:val="5CB6036B"/>
    <w:rsid w:val="5E317DD6"/>
    <w:rsid w:val="5F102338"/>
    <w:rsid w:val="606C3347"/>
    <w:rsid w:val="61C15914"/>
    <w:rsid w:val="69AE2A4F"/>
    <w:rsid w:val="6B0F149F"/>
    <w:rsid w:val="6CF77B06"/>
    <w:rsid w:val="6D250063"/>
    <w:rsid w:val="6D57537F"/>
    <w:rsid w:val="6E4D2D00"/>
    <w:rsid w:val="6F270FEB"/>
    <w:rsid w:val="730B30A4"/>
    <w:rsid w:val="75B16F3B"/>
    <w:rsid w:val="78801C2E"/>
    <w:rsid w:val="79D42E13"/>
    <w:rsid w:val="7D9D293A"/>
    <w:rsid w:val="7E0E1A8A"/>
    <w:rsid w:val="7F833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10">
    <w:name w:val="page number"/>
    <w:qFormat/>
    <w:uiPriority w:val="0"/>
  </w:style>
  <w:style w:type="paragraph" w:customStyle="1" w:styleId="11">
    <w:name w:val="List Paragraph"/>
    <w:basedOn w:val="1"/>
    <w:autoRedefine/>
    <w:qFormat/>
    <w:uiPriority w:val="0"/>
    <w:pPr>
      <w:ind w:firstLine="420" w:firstLineChars="200"/>
    </w:pPr>
    <w:rPr>
      <w:rFonts w:ascii="Calibri" w:hAnsi="Calibri"/>
      <w:szCs w:val="22"/>
    </w:rPr>
  </w:style>
  <w:style w:type="paragraph" w:customStyle="1" w:styleId="12">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3">
    <w:name w:val="p0"/>
    <w:basedOn w:val="1"/>
    <w:autoRedefine/>
    <w:unhideWhenUsed/>
    <w:qFormat/>
    <w:uiPriority w:val="99"/>
    <w:pPr>
      <w:widowControl/>
    </w:pPr>
    <w:rPr>
      <w:rFonts w:hint="eastAsia"/>
    </w:rPr>
  </w:style>
  <w:style w:type="paragraph" w:customStyle="1" w:styleId="14">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 w:type="paragraph" w:customStyle="1" w:styleId="15">
    <w:name w:val="Header or footer|1"/>
    <w:basedOn w:val="1"/>
    <w:qFormat/>
    <w:uiPriority w:val="0"/>
    <w:rPr>
      <w:sz w:val="28"/>
      <w:szCs w:val="28"/>
      <w:lang w:val="zh-TW" w:eastAsia="zh-TW" w:bidi="zh-TW"/>
    </w:rPr>
  </w:style>
  <w:style w:type="paragraph" w:customStyle="1" w:styleId="16">
    <w:name w:val="正文 1.1.1"/>
    <w:basedOn w:val="1"/>
    <w:next w:val="1"/>
    <w:qFormat/>
    <w:uiPriority w:val="0"/>
    <w:pPr>
      <w:tabs>
        <w:tab w:val="left" w:pos="851"/>
      </w:tabs>
      <w:outlineLvl w:val="2"/>
    </w:pPr>
    <w:rPr>
      <w:rFonts w:hAnsi="宋体"/>
      <w:color w:val="FF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10479</Words>
  <Characters>10818</Characters>
  <Lines>0</Lines>
  <Paragraphs>0</Paragraphs>
  <TotalTime>0</TotalTime>
  <ScaleCrop>false</ScaleCrop>
  <LinksUpToDate>false</LinksUpToDate>
  <CharactersWithSpaces>11873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2025-03-14T05:53:31Z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eyJoZGlkIjoiYzQ3MzJmODVmNmFlYzI4OWVkNzBmYTBkOTQxYjNlOTEiLCJ1c2VySWQiOiI3OTQ2MDA2NzEifQ==</vt:lpwstr>
  </property>
</Properties>
</file>